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054A17">
        <w:rPr>
          <w:rFonts w:ascii="Bahnschrift" w:eastAsiaTheme="minorEastAsia" w:hAnsi="Bahnschrift" w:cs="Arial"/>
          <w:b/>
          <w:sz w:val="56"/>
          <w:szCs w:val="56"/>
          <w:lang w:eastAsia="es-MX"/>
        </w:rPr>
        <w:t>2</w:t>
      </w:r>
      <w:r w:rsidR="00C07242">
        <w:rPr>
          <w:rFonts w:ascii="Bahnschrift" w:eastAsiaTheme="minorEastAsia" w:hAnsi="Bahnschrift" w:cs="Arial"/>
          <w:b/>
          <w:sz w:val="56"/>
          <w:szCs w:val="56"/>
          <w:lang w:eastAsia="es-MX"/>
        </w:rPr>
        <w:t>1</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C07242"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AGOSTO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w:t>
            </w:r>
            <w:r w:rsidR="00BB1450">
              <w:rPr>
                <w:rFonts w:ascii="Book Antiqua" w:eastAsiaTheme="minorEastAsia" w:hAnsi="Book Antiqua" w:cs="Arial"/>
                <w:b/>
                <w:sz w:val="24"/>
                <w:szCs w:val="24"/>
                <w:lang w:eastAsia="es-MX"/>
              </w:rPr>
              <w:t xml:space="preserve"> 02</w:t>
            </w:r>
            <w:r w:rsidR="00C07242">
              <w:rPr>
                <w:rFonts w:ascii="Book Antiqua" w:eastAsiaTheme="minorEastAsia" w:hAnsi="Book Antiqua" w:cs="Arial"/>
                <w:b/>
                <w:sz w:val="24"/>
                <w:szCs w:val="24"/>
                <w:lang w:eastAsia="es-MX"/>
              </w:rPr>
              <w:t>4</w:t>
            </w:r>
            <w:r w:rsidRPr="00F63901">
              <w:rPr>
                <w:rFonts w:ascii="Book Antiqua" w:eastAsiaTheme="minorEastAsia" w:hAnsi="Book Antiqua" w:cs="Arial"/>
                <w:b/>
                <w:sz w:val="24"/>
                <w:szCs w:val="24"/>
                <w:lang w:eastAsia="es-MX"/>
              </w:rPr>
              <w:t xml:space="preserve">, CON CARÁCTER DE ORDINARIA DE FECHA </w:t>
            </w:r>
            <w:r w:rsidR="00054A17">
              <w:rPr>
                <w:rFonts w:ascii="Book Antiqua" w:eastAsiaTheme="minorEastAsia" w:hAnsi="Book Antiqua" w:cs="Arial"/>
                <w:b/>
                <w:sz w:val="24"/>
                <w:szCs w:val="24"/>
                <w:lang w:eastAsia="es-MX"/>
              </w:rPr>
              <w:t>1</w:t>
            </w:r>
            <w:r w:rsidR="00C07242">
              <w:rPr>
                <w:rFonts w:ascii="Book Antiqua" w:eastAsiaTheme="minorEastAsia" w:hAnsi="Book Antiqua" w:cs="Arial"/>
                <w:b/>
                <w:sz w:val="24"/>
                <w:szCs w:val="24"/>
                <w:lang w:eastAsia="es-MX"/>
              </w:rPr>
              <w:t>4</w:t>
            </w:r>
            <w:r w:rsidRPr="00F63901">
              <w:rPr>
                <w:rFonts w:ascii="Book Antiqua" w:eastAsiaTheme="minorEastAsia" w:hAnsi="Book Antiqua" w:cs="Arial"/>
                <w:b/>
                <w:sz w:val="24"/>
                <w:szCs w:val="24"/>
                <w:lang w:eastAsia="es-MX"/>
              </w:rPr>
              <w:t xml:space="preserve"> DE </w:t>
            </w:r>
            <w:r w:rsidR="00C07242">
              <w:rPr>
                <w:rFonts w:ascii="Book Antiqua" w:eastAsiaTheme="minorEastAsia" w:hAnsi="Book Antiqua" w:cs="Arial"/>
                <w:b/>
                <w:sz w:val="24"/>
                <w:szCs w:val="24"/>
                <w:lang w:eastAsia="es-MX"/>
              </w:rPr>
              <w:t>AGOSTO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w:t>
            </w:r>
            <w:r w:rsidR="00C07242">
              <w:rPr>
                <w:rFonts w:ascii="Book Antiqua" w:eastAsiaTheme="minorEastAsia" w:hAnsi="Book Antiqua" w:cs="Arial"/>
                <w:b/>
                <w:sz w:val="24"/>
                <w:szCs w:val="24"/>
                <w:lang w:eastAsia="es-MX"/>
              </w:rPr>
              <w:t>12</w:t>
            </w:r>
            <w:bookmarkStart w:id="0" w:name="_GoBack"/>
            <w:bookmarkEnd w:id="0"/>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C07242" w:rsidRPr="00C07242" w:rsidRDefault="00C07242" w:rsidP="00C07242">
      <w:pPr>
        <w:spacing w:after="0" w:line="240" w:lineRule="auto"/>
        <w:jc w:val="center"/>
        <w:rPr>
          <w:rFonts w:ascii="Arial" w:eastAsia="Arial Unicode MS" w:hAnsi="Arial" w:cs="Arial"/>
          <w:b/>
          <w:sz w:val="20"/>
          <w:szCs w:val="20"/>
          <w:lang w:val="es-ES"/>
        </w:rPr>
      </w:pPr>
      <w:r w:rsidRPr="00C07242">
        <w:rPr>
          <w:rFonts w:ascii="Arial" w:eastAsia="Arial Unicode MS" w:hAnsi="Arial" w:cs="Arial"/>
          <w:b/>
          <w:sz w:val="20"/>
          <w:szCs w:val="20"/>
          <w:lang w:val="es-ES"/>
        </w:rPr>
        <w:t>ACTA NÚMERO 024</w:t>
      </w:r>
    </w:p>
    <w:p w:rsidR="00C07242" w:rsidRPr="00C07242" w:rsidRDefault="00C07242" w:rsidP="00C07242">
      <w:pPr>
        <w:spacing w:after="0" w:line="240" w:lineRule="auto"/>
        <w:jc w:val="center"/>
        <w:rPr>
          <w:rFonts w:ascii="Arial" w:eastAsia="Arial Unicode MS" w:hAnsi="Arial" w:cs="Arial"/>
          <w:bCs/>
          <w:sz w:val="20"/>
          <w:szCs w:val="20"/>
          <w:lang w:val="es-ES"/>
        </w:rPr>
      </w:pPr>
      <w:r w:rsidRPr="00C07242">
        <w:rPr>
          <w:rFonts w:ascii="Arial" w:eastAsia="Arial Unicode MS" w:hAnsi="Arial" w:cs="Arial"/>
          <w:bCs/>
          <w:sz w:val="20"/>
          <w:szCs w:val="20"/>
          <w:lang w:val="es-ES"/>
        </w:rPr>
        <w:t xml:space="preserve"> </w:t>
      </w:r>
      <w:r w:rsidRPr="00C07242">
        <w:rPr>
          <w:rFonts w:ascii="Arial" w:eastAsia="Arial Unicode MS" w:hAnsi="Arial" w:cs="Arial"/>
          <w:bCs/>
          <w:sz w:val="20"/>
          <w:szCs w:val="20"/>
          <w:lang w:val="es-ES"/>
        </w:rPr>
        <w:t>(ORDINARIA)</w:t>
      </w:r>
    </w:p>
    <w:p w:rsidR="00C07242" w:rsidRPr="00C07242" w:rsidRDefault="00C07242" w:rsidP="00C07242">
      <w:pPr>
        <w:spacing w:after="0" w:line="240" w:lineRule="auto"/>
        <w:jc w:val="center"/>
        <w:rPr>
          <w:rFonts w:ascii="Arial" w:eastAsia="Arial Unicode MS" w:hAnsi="Arial" w:cs="Arial"/>
          <w:bCs/>
          <w:sz w:val="20"/>
          <w:szCs w:val="20"/>
          <w:lang w:val="es-ES"/>
        </w:rPr>
      </w:pPr>
      <w:r w:rsidRPr="00C07242">
        <w:rPr>
          <w:rFonts w:ascii="Arial" w:eastAsia="Arial Unicode MS" w:hAnsi="Arial" w:cs="Arial"/>
          <w:bCs/>
          <w:sz w:val="20"/>
          <w:szCs w:val="20"/>
          <w:lang w:val="es-ES"/>
        </w:rPr>
        <w:t>14 DE AGOSTO DE 2019</w:t>
      </w:r>
    </w:p>
    <w:p w:rsidR="00054A17" w:rsidRPr="00695F66" w:rsidRDefault="00054A17" w:rsidP="00C07242">
      <w:pPr>
        <w:spacing w:after="0" w:line="240" w:lineRule="auto"/>
        <w:rPr>
          <w:rFonts w:ascii="Arial" w:eastAsia="Arial Unicode MS" w:hAnsi="Arial" w:cs="Arial"/>
          <w:b/>
          <w:sz w:val="24"/>
          <w:szCs w:val="24"/>
          <w:lang w:val="es-ES"/>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00054A17">
        <w:rPr>
          <w:rFonts w:ascii="Arial" w:eastAsia="Arial Unicode MS" w:hAnsi="Arial" w:cs="Arial"/>
          <w:b/>
          <w:lang w:val="es-ES"/>
        </w:rPr>
        <w:t>.-</w:t>
      </w:r>
      <w:r w:rsidR="002D658A" w:rsidRPr="002D658A">
        <w:rPr>
          <w:rFonts w:ascii="Arial" w:eastAsia="Arial Unicode MS" w:hAnsi="Arial" w:cs="Arial"/>
          <w:lang w:val="es-ES"/>
        </w:rPr>
        <w:t xml:space="preserve">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00054A17">
        <w:rPr>
          <w:rFonts w:ascii="Arial" w:eastAsia="Arial Unicode MS" w:hAnsi="Arial" w:cs="Arial"/>
          <w:b/>
          <w:lang w:val="es-ES"/>
        </w:rPr>
        <w:t xml:space="preserve">.- </w:t>
      </w:r>
      <w:r w:rsidR="002D658A" w:rsidRPr="002D658A">
        <w:rPr>
          <w:rFonts w:ascii="Arial" w:eastAsia="Arial Unicode MS" w:hAnsi="Arial" w:cs="Arial"/>
          <w:lang w:val="es-ES"/>
        </w:rPr>
        <w:t>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w:hAnsi="Arial" w:cs="Arial"/>
          <w:lang w:eastAsia="es-MX"/>
        </w:rPr>
        <w:t>SE APRUEBA LA DISPENSA DE LA LECTURA COMPLETA DE LOS DICTÁMENES A TRATAR EN LA PRESENTE SESIÓN DE CABILDO</w:t>
      </w:r>
      <w:r w:rsidRPr="002D658A">
        <w:rPr>
          <w:rFonts w:ascii="Arial" w:eastAsia="Arial" w:hAnsi="Arial" w:cs="Arial"/>
          <w:lang w:val="es-ES"/>
        </w:rPr>
        <w:t>.</w:t>
      </w:r>
    </w:p>
    <w:p w:rsidR="00C07242" w:rsidRPr="00CE4EEF" w:rsidRDefault="00A903E7" w:rsidP="00C07242">
      <w:pPr>
        <w:spacing w:after="120" w:line="240" w:lineRule="auto"/>
        <w:jc w:val="both"/>
        <w:rPr>
          <w:rFonts w:ascii="Arial" w:eastAsia="Calibri" w:hAnsi="Arial" w:cs="Arial"/>
          <w:b/>
          <w:color w:val="000000"/>
          <w:sz w:val="24"/>
          <w:szCs w:val="24"/>
        </w:rPr>
      </w:pPr>
      <w:r w:rsidRPr="007B6163">
        <w:rPr>
          <w:rFonts w:ascii="Arial" w:eastAsia="Arial Unicode MS" w:hAnsi="Arial" w:cs="Arial"/>
          <w:b/>
          <w:lang w:val="es-ES"/>
        </w:rPr>
        <w:t>ACUERDO NO. 05.</w:t>
      </w:r>
      <w:r w:rsidR="00BB1450">
        <w:rPr>
          <w:rFonts w:ascii="Arial" w:eastAsia="Arial Unicode MS" w:hAnsi="Arial" w:cs="Arial"/>
          <w:b/>
          <w:lang w:val="es-ES"/>
        </w:rPr>
        <w:t>-</w:t>
      </w:r>
      <w:r w:rsidR="00BB1450">
        <w:rPr>
          <w:rFonts w:ascii="Arial" w:eastAsia="Arial Unicode MS" w:hAnsi="Arial" w:cs="Arial"/>
          <w:b/>
          <w:sz w:val="24"/>
          <w:szCs w:val="24"/>
          <w:lang w:val="es-ES"/>
        </w:rPr>
        <w:t xml:space="preserve"> </w:t>
      </w:r>
      <w:r w:rsidR="00C07242" w:rsidRPr="00C07242">
        <w:rPr>
          <w:rFonts w:ascii="Arial" w:eastAsia="Arial Unicode MS" w:hAnsi="Arial" w:cs="Arial"/>
          <w:bCs/>
          <w:lang w:val="es-ES"/>
        </w:rPr>
        <w:t xml:space="preserve">SE </w:t>
      </w:r>
      <w:r w:rsidR="00C07242" w:rsidRPr="00C07242">
        <w:rPr>
          <w:rFonts w:ascii="Arial" w:eastAsia="Calibri" w:hAnsi="Arial" w:cs="Arial"/>
          <w:bCs/>
          <w:color w:val="000000"/>
        </w:rPr>
        <w:t xml:space="preserve">APRUEBA Y AUTORIZA EL </w:t>
      </w:r>
      <w:r w:rsidR="00C07242" w:rsidRPr="00C07242">
        <w:rPr>
          <w:rFonts w:ascii="Arial" w:hAnsi="Arial" w:cs="Arial"/>
          <w:bCs/>
        </w:rPr>
        <w:t>DICTAMEN DE LAS COMISIONES UNIDAS DE HACIENDA Y PATRIMONIO MUNICIPALES Y DE EDUCACIÓN Y CULTURA RELATIVO A LA CONCESIÓN DE ÁREAS MUNICIPALES A SOLICITUD DEL GOBIERNO DEL ESTADO DE NUEVO LEÓN PARA USO DE LA SECRETARÍA DE EDUCACIÓN</w:t>
      </w:r>
      <w:r w:rsidR="00C07242" w:rsidRPr="00C07242">
        <w:rPr>
          <w:rFonts w:ascii="Arial" w:hAnsi="Arial" w:cs="Arial"/>
          <w:bCs/>
          <w:lang w:eastAsia="es-ES"/>
        </w:rPr>
        <w:t>,</w:t>
      </w:r>
      <w:r w:rsidR="00C07242" w:rsidRPr="00C07242">
        <w:rPr>
          <w:rFonts w:ascii="Arial" w:hAnsi="Arial" w:cs="Arial"/>
          <w:bCs/>
          <w:lang w:val="es"/>
        </w:rPr>
        <w:t xml:space="preserve"> </w:t>
      </w:r>
      <w:r w:rsidR="00C07242" w:rsidRPr="00C07242">
        <w:rPr>
          <w:rFonts w:ascii="Arial" w:eastAsia="Calibri" w:hAnsi="Arial" w:cs="Arial"/>
          <w:bCs/>
          <w:color w:val="000000"/>
        </w:rPr>
        <w:t>EN LOS SIGUIENTES TÉRMINOS</w:t>
      </w:r>
      <w:r w:rsidR="00C07242" w:rsidRPr="0099319F">
        <w:rPr>
          <w:rFonts w:ascii="Arial" w:eastAsia="Calibri" w:hAnsi="Arial" w:cs="Arial"/>
          <w:b/>
          <w:color w:val="000000"/>
          <w:sz w:val="24"/>
          <w:szCs w:val="24"/>
        </w:rPr>
        <w:t xml:space="preserve">: </w:t>
      </w:r>
    </w:p>
    <w:p w:rsidR="00C07242" w:rsidRPr="00C07242" w:rsidRDefault="00C07242" w:rsidP="00C07242">
      <w:pPr>
        <w:jc w:val="both"/>
        <w:rPr>
          <w:rFonts w:ascii="Arial" w:hAnsi="Arial" w:cs="Arial"/>
        </w:rPr>
      </w:pPr>
      <w:r w:rsidRPr="00C07242">
        <w:rPr>
          <w:rFonts w:ascii="Arial" w:hAnsi="Arial" w:cs="Arial"/>
        </w:rPr>
        <w:t>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inciso c), 204, 205, 206 y demás relativos de la Ley de Gobierno Municipal de Estado de Nuevo León, se aprueba y autoriza, la firma del contrato, o los que fueren necesarios, bajo la figura jurídica de comodato entre el Municipio de Juárez, Nuevo León como comodante y el Gobierno del Estado de Nuevo León en su calidad de comodatario; autorizando al Presidente Municipal y a la Síndico Segundo, en su calidad de representantes legales del municipio, a que firmen el citado contrato, o los que sean necesarios, en base a los siguientes:</w:t>
      </w:r>
    </w:p>
    <w:p w:rsidR="00C07242" w:rsidRPr="00C07242" w:rsidRDefault="00C07242" w:rsidP="00C07242">
      <w:pPr>
        <w:pStyle w:val="Default"/>
        <w:jc w:val="both"/>
        <w:rPr>
          <w:sz w:val="22"/>
          <w:szCs w:val="22"/>
        </w:rPr>
      </w:pPr>
      <w:r w:rsidRPr="00C07242">
        <w:rPr>
          <w:b/>
          <w:sz w:val="22"/>
          <w:szCs w:val="22"/>
        </w:rPr>
        <w:t xml:space="preserve">PRIMERO.- </w:t>
      </w:r>
      <w:r w:rsidRPr="00C07242">
        <w:rPr>
          <w:sz w:val="22"/>
          <w:szCs w:val="22"/>
        </w:rPr>
        <w:t>Las áreas municipales serán destinadas para la construcción del Colegio de Estudios Científicos y Tecnológicos, al servicio de los vecinos del Municipio de Juárez en general. Las mencionadas áreas se describen a continuación:</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 xml:space="preserve">Área municipal N° 11 ubicada en la Manzana 178 Lote 2 del Fraccionamiento Los Puertos 2° Sector, ubicada en el Municipio de Juárez, N.L., con superficie total de 4,191.072 mts2. </w:t>
      </w:r>
    </w:p>
    <w:p w:rsidR="00C07242" w:rsidRPr="00DB1C52" w:rsidRDefault="00C07242" w:rsidP="00C07242">
      <w:pPr>
        <w:spacing w:after="0"/>
        <w:ind w:left="708"/>
        <w:jc w:val="both"/>
        <w:rPr>
          <w:rFonts w:ascii="Arial" w:hAnsi="Arial" w:cs="Arial"/>
          <w:sz w:val="20"/>
          <w:szCs w:val="20"/>
        </w:rPr>
      </w:pPr>
      <w:r w:rsidRPr="00DB1C52">
        <w:rPr>
          <w:rFonts w:ascii="Arial" w:hAnsi="Arial" w:cs="Arial"/>
          <w:sz w:val="20"/>
          <w:szCs w:val="20"/>
        </w:rPr>
        <w:t>CUADRO DE CONSTRUCCIÓN</w:t>
      </w:r>
    </w:p>
    <w:tbl>
      <w:tblPr>
        <w:tblStyle w:val="Tablaconcuadrcula"/>
        <w:tblW w:w="0" w:type="auto"/>
        <w:jc w:val="center"/>
        <w:tblLook w:val="04A0" w:firstRow="1" w:lastRow="0" w:firstColumn="1" w:lastColumn="0" w:noHBand="0" w:noVBand="1"/>
      </w:tblPr>
      <w:tblGrid>
        <w:gridCol w:w="1147"/>
        <w:gridCol w:w="1064"/>
        <w:gridCol w:w="1056"/>
        <w:gridCol w:w="1164"/>
        <w:gridCol w:w="1059"/>
        <w:gridCol w:w="1104"/>
      </w:tblGrid>
      <w:tr w:rsidR="00C07242" w:rsidRPr="00DB1C52" w:rsidTr="00135BE2">
        <w:trPr>
          <w:trHeight w:val="256"/>
          <w:jc w:val="center"/>
        </w:trPr>
        <w:tc>
          <w:tcPr>
            <w:tcW w:w="1147" w:type="dxa"/>
          </w:tcPr>
          <w:p w:rsidR="00C07242" w:rsidRPr="00DB1C52" w:rsidRDefault="00C07242" w:rsidP="00135BE2">
            <w:pPr>
              <w:jc w:val="both"/>
              <w:rPr>
                <w:rFonts w:ascii="Arial" w:hAnsi="Arial" w:cs="Arial"/>
                <w:b/>
                <w:sz w:val="16"/>
                <w:szCs w:val="16"/>
              </w:rPr>
            </w:pPr>
            <w:r w:rsidRPr="00DB1C52">
              <w:rPr>
                <w:rFonts w:ascii="Arial" w:hAnsi="Arial" w:cs="Arial"/>
                <w:b/>
                <w:sz w:val="16"/>
                <w:szCs w:val="16"/>
              </w:rPr>
              <w:t>VERTICE</w:t>
            </w:r>
          </w:p>
        </w:tc>
        <w:tc>
          <w:tcPr>
            <w:tcW w:w="1064" w:type="dxa"/>
          </w:tcPr>
          <w:p w:rsidR="00C07242" w:rsidRPr="00DB1C52" w:rsidRDefault="00C07242" w:rsidP="00135BE2">
            <w:pPr>
              <w:jc w:val="both"/>
              <w:rPr>
                <w:rFonts w:ascii="Arial" w:hAnsi="Arial" w:cs="Arial"/>
                <w:b/>
                <w:sz w:val="16"/>
                <w:szCs w:val="16"/>
              </w:rPr>
            </w:pPr>
            <w:r w:rsidRPr="00DB1C52">
              <w:rPr>
                <w:rFonts w:ascii="Arial" w:hAnsi="Arial" w:cs="Arial"/>
                <w:b/>
                <w:sz w:val="16"/>
                <w:szCs w:val="16"/>
              </w:rPr>
              <w:t>LADO</w:t>
            </w:r>
          </w:p>
        </w:tc>
        <w:tc>
          <w:tcPr>
            <w:tcW w:w="1056" w:type="dxa"/>
          </w:tcPr>
          <w:p w:rsidR="00C07242" w:rsidRPr="00DB1C52" w:rsidRDefault="00C07242" w:rsidP="00135BE2">
            <w:pPr>
              <w:jc w:val="both"/>
              <w:rPr>
                <w:rFonts w:ascii="Arial" w:hAnsi="Arial" w:cs="Arial"/>
                <w:b/>
                <w:sz w:val="16"/>
                <w:szCs w:val="16"/>
              </w:rPr>
            </w:pPr>
            <w:r w:rsidRPr="00DB1C52">
              <w:rPr>
                <w:rFonts w:ascii="Arial" w:hAnsi="Arial" w:cs="Arial"/>
                <w:b/>
                <w:sz w:val="16"/>
                <w:szCs w:val="16"/>
              </w:rPr>
              <w:t>DIST.</w:t>
            </w:r>
          </w:p>
        </w:tc>
        <w:tc>
          <w:tcPr>
            <w:tcW w:w="1164" w:type="dxa"/>
          </w:tcPr>
          <w:p w:rsidR="00C07242" w:rsidRPr="00DB1C52" w:rsidRDefault="00C07242" w:rsidP="00135BE2">
            <w:pPr>
              <w:jc w:val="both"/>
              <w:rPr>
                <w:rFonts w:ascii="Arial" w:hAnsi="Arial" w:cs="Arial"/>
                <w:b/>
                <w:sz w:val="16"/>
                <w:szCs w:val="16"/>
              </w:rPr>
            </w:pPr>
            <w:r w:rsidRPr="00DB1C52">
              <w:rPr>
                <w:rFonts w:ascii="Arial" w:hAnsi="Arial" w:cs="Arial"/>
                <w:b/>
                <w:sz w:val="16"/>
                <w:szCs w:val="16"/>
              </w:rPr>
              <w:t>ANGULO</w:t>
            </w:r>
          </w:p>
        </w:tc>
        <w:tc>
          <w:tcPr>
            <w:tcW w:w="1059" w:type="dxa"/>
          </w:tcPr>
          <w:p w:rsidR="00C07242" w:rsidRPr="00DB1C52" w:rsidRDefault="00C07242" w:rsidP="00135BE2">
            <w:pPr>
              <w:jc w:val="both"/>
              <w:rPr>
                <w:rFonts w:ascii="Arial" w:hAnsi="Arial" w:cs="Arial"/>
                <w:b/>
                <w:sz w:val="16"/>
                <w:szCs w:val="16"/>
              </w:rPr>
            </w:pPr>
            <w:r w:rsidRPr="00DB1C52">
              <w:rPr>
                <w:rFonts w:ascii="Arial" w:hAnsi="Arial" w:cs="Arial"/>
                <w:b/>
                <w:sz w:val="16"/>
                <w:szCs w:val="16"/>
              </w:rPr>
              <w:t>ESTE</w:t>
            </w:r>
          </w:p>
        </w:tc>
        <w:tc>
          <w:tcPr>
            <w:tcW w:w="1104" w:type="dxa"/>
          </w:tcPr>
          <w:p w:rsidR="00C07242" w:rsidRPr="00DB1C52" w:rsidRDefault="00C07242" w:rsidP="00135BE2">
            <w:pPr>
              <w:jc w:val="both"/>
              <w:rPr>
                <w:rFonts w:ascii="Arial" w:hAnsi="Arial" w:cs="Arial"/>
                <w:b/>
                <w:sz w:val="16"/>
                <w:szCs w:val="16"/>
              </w:rPr>
            </w:pPr>
            <w:r w:rsidRPr="00DB1C52">
              <w:rPr>
                <w:rFonts w:ascii="Arial" w:hAnsi="Arial" w:cs="Arial"/>
                <w:b/>
                <w:sz w:val="16"/>
                <w:szCs w:val="16"/>
              </w:rPr>
              <w:t>NORTE</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P9</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P9-P10</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35.56</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89°18’36”</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6016.237</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5293.914</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P10</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P10-P11</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82.20</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89°59’58”</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6051.477</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5289.175</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P11</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P11-P12</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3.82</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79°0’45”</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6062.433</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5370.643</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P12</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P12-P13</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15.45</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178°20’43”</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6058.619</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5370.421</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P13</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P13-P14</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14.89</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177°39’0”</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6043.226</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5369.079</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lastRenderedPageBreak/>
              <w:t>P14</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P14-P15</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9.85</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183°10’49”</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6028.462</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5367.179</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P15</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P15-P16</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15.96</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177°19’54”</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6018.635</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5366.465</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P16</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P16-P17</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14.92</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177°13’7”</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6002.790</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5364.570</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P17</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P17-P18</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6.9</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176°20’60”</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5988.078</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5362.081</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P18</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P18-P19</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4.73</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205°17’28”</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5981.365</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5360.500</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P19</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P19-P20</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21.49</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92°55’44”</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5976.738</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5361.487</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P20</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P20-P21</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1.52</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178°11’16”</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5971.187</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5340.725</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P21</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P21-P8</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51.5</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84°51’30”</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5970.840</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5339.241</w:t>
            </w:r>
          </w:p>
        </w:tc>
      </w:tr>
      <w:tr w:rsidR="00C07242" w:rsidRPr="00DB1C52" w:rsidTr="00135BE2">
        <w:trPr>
          <w:trHeight w:val="256"/>
          <w:jc w:val="center"/>
        </w:trPr>
        <w:tc>
          <w:tcPr>
            <w:tcW w:w="1147"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P8</w:t>
            </w:r>
          </w:p>
        </w:tc>
        <w:tc>
          <w:tcPr>
            <w:tcW w:w="10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P8-P9</w:t>
            </w:r>
          </w:p>
        </w:tc>
        <w:tc>
          <w:tcPr>
            <w:tcW w:w="1056"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38.56</w:t>
            </w:r>
          </w:p>
        </w:tc>
        <w:tc>
          <w:tcPr>
            <w:tcW w:w="116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270°20’10”</w:t>
            </w:r>
          </w:p>
        </w:tc>
        <w:tc>
          <w:tcPr>
            <w:tcW w:w="1059"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6021.836</w:t>
            </w:r>
          </w:p>
        </w:tc>
        <w:tc>
          <w:tcPr>
            <w:tcW w:w="1104" w:type="dxa"/>
          </w:tcPr>
          <w:p w:rsidR="00C07242" w:rsidRPr="00DB1C52" w:rsidRDefault="00C07242" w:rsidP="00135BE2">
            <w:pPr>
              <w:jc w:val="center"/>
              <w:rPr>
                <w:rFonts w:ascii="Arial" w:hAnsi="Arial" w:cs="Arial"/>
                <w:sz w:val="16"/>
                <w:szCs w:val="16"/>
              </w:rPr>
            </w:pPr>
            <w:r w:rsidRPr="00DB1C52">
              <w:rPr>
                <w:rFonts w:ascii="Arial" w:hAnsi="Arial" w:cs="Arial"/>
                <w:sz w:val="16"/>
                <w:szCs w:val="16"/>
              </w:rPr>
              <w:t>5332.062</w:t>
            </w:r>
          </w:p>
        </w:tc>
      </w:tr>
    </w:tbl>
    <w:p w:rsidR="00C07242" w:rsidRPr="00CE4EEF" w:rsidRDefault="00C07242" w:rsidP="00C07242">
      <w:pPr>
        <w:spacing w:after="0"/>
        <w:ind w:left="708"/>
        <w:jc w:val="both"/>
        <w:rPr>
          <w:rFonts w:ascii="Arial" w:hAnsi="Arial" w:cs="Arial"/>
          <w:sz w:val="24"/>
          <w:szCs w:val="24"/>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Área municipal N°6 identificada como Lote1 Manzana 178 del Fraccionamiento Los Puertos 1°Secector., ubicada en el Municipio de Juárez, N.L., con superficie total: 838.491 mts2.</w:t>
      </w:r>
    </w:p>
    <w:p w:rsidR="00C07242" w:rsidRPr="00DB1C52" w:rsidRDefault="00C07242" w:rsidP="00C07242">
      <w:pPr>
        <w:spacing w:before="240"/>
        <w:ind w:firstLine="708"/>
        <w:jc w:val="both"/>
        <w:rPr>
          <w:rFonts w:ascii="Arial" w:hAnsi="Arial" w:cs="Arial"/>
          <w:sz w:val="20"/>
          <w:szCs w:val="20"/>
        </w:rPr>
      </w:pPr>
      <w:r w:rsidRPr="00DB1C52">
        <w:rPr>
          <w:rFonts w:ascii="Arial" w:hAnsi="Arial" w:cs="Arial"/>
          <w:sz w:val="20"/>
          <w:szCs w:val="20"/>
        </w:rPr>
        <w:t>CUADRO DE CONSTRUCCIÓN</w:t>
      </w:r>
    </w:p>
    <w:tbl>
      <w:tblPr>
        <w:tblStyle w:val="Tablaconcuadrcula"/>
        <w:tblW w:w="0" w:type="auto"/>
        <w:jc w:val="center"/>
        <w:tblLook w:val="04A0" w:firstRow="1" w:lastRow="0" w:firstColumn="1" w:lastColumn="0" w:noHBand="0" w:noVBand="1"/>
      </w:tblPr>
      <w:tblGrid>
        <w:gridCol w:w="1044"/>
        <w:gridCol w:w="1033"/>
        <w:gridCol w:w="1032"/>
        <w:gridCol w:w="1079"/>
        <w:gridCol w:w="1043"/>
        <w:gridCol w:w="1043"/>
      </w:tblGrid>
      <w:tr w:rsidR="00C07242" w:rsidRPr="00DB1C52" w:rsidTr="00135BE2">
        <w:trPr>
          <w:trHeight w:val="397"/>
          <w:jc w:val="center"/>
        </w:trPr>
        <w:tc>
          <w:tcPr>
            <w:tcW w:w="1044" w:type="dxa"/>
          </w:tcPr>
          <w:p w:rsidR="00C07242" w:rsidRPr="00DB1C52" w:rsidRDefault="00C07242" w:rsidP="00135BE2">
            <w:pPr>
              <w:spacing w:before="240"/>
              <w:jc w:val="center"/>
              <w:rPr>
                <w:rFonts w:ascii="Arial" w:hAnsi="Arial" w:cs="Arial"/>
                <w:b/>
                <w:sz w:val="16"/>
                <w:szCs w:val="16"/>
              </w:rPr>
            </w:pPr>
            <w:r w:rsidRPr="00DB1C52">
              <w:rPr>
                <w:rFonts w:ascii="Arial" w:hAnsi="Arial" w:cs="Arial"/>
                <w:b/>
                <w:sz w:val="16"/>
                <w:szCs w:val="16"/>
              </w:rPr>
              <w:t>VERTICE</w:t>
            </w:r>
          </w:p>
        </w:tc>
        <w:tc>
          <w:tcPr>
            <w:tcW w:w="1033" w:type="dxa"/>
          </w:tcPr>
          <w:p w:rsidR="00C07242" w:rsidRPr="00DB1C52" w:rsidRDefault="00C07242" w:rsidP="00135BE2">
            <w:pPr>
              <w:spacing w:before="240"/>
              <w:jc w:val="center"/>
              <w:rPr>
                <w:rFonts w:ascii="Arial" w:hAnsi="Arial" w:cs="Arial"/>
                <w:b/>
                <w:sz w:val="16"/>
                <w:szCs w:val="16"/>
              </w:rPr>
            </w:pPr>
            <w:r w:rsidRPr="00DB1C52">
              <w:rPr>
                <w:rFonts w:ascii="Arial" w:hAnsi="Arial" w:cs="Arial"/>
                <w:b/>
                <w:sz w:val="16"/>
                <w:szCs w:val="16"/>
              </w:rPr>
              <w:t>LADO</w:t>
            </w:r>
          </w:p>
        </w:tc>
        <w:tc>
          <w:tcPr>
            <w:tcW w:w="1032" w:type="dxa"/>
          </w:tcPr>
          <w:p w:rsidR="00C07242" w:rsidRPr="00DB1C52" w:rsidRDefault="00C07242" w:rsidP="00135BE2">
            <w:pPr>
              <w:spacing w:before="240"/>
              <w:jc w:val="center"/>
              <w:rPr>
                <w:rFonts w:ascii="Arial" w:hAnsi="Arial" w:cs="Arial"/>
                <w:b/>
                <w:sz w:val="16"/>
                <w:szCs w:val="16"/>
              </w:rPr>
            </w:pPr>
            <w:r w:rsidRPr="00DB1C52">
              <w:rPr>
                <w:rFonts w:ascii="Arial" w:hAnsi="Arial" w:cs="Arial"/>
                <w:b/>
                <w:sz w:val="16"/>
                <w:szCs w:val="16"/>
              </w:rPr>
              <w:t>DIST.</w:t>
            </w:r>
          </w:p>
        </w:tc>
        <w:tc>
          <w:tcPr>
            <w:tcW w:w="1079" w:type="dxa"/>
          </w:tcPr>
          <w:p w:rsidR="00C07242" w:rsidRPr="00DB1C52" w:rsidRDefault="00C07242" w:rsidP="00135BE2">
            <w:pPr>
              <w:spacing w:before="240"/>
              <w:jc w:val="center"/>
              <w:rPr>
                <w:rFonts w:ascii="Arial" w:hAnsi="Arial" w:cs="Arial"/>
                <w:b/>
                <w:sz w:val="16"/>
                <w:szCs w:val="16"/>
              </w:rPr>
            </w:pPr>
            <w:r w:rsidRPr="00DB1C52">
              <w:rPr>
                <w:rFonts w:ascii="Arial" w:hAnsi="Arial" w:cs="Arial"/>
                <w:b/>
                <w:sz w:val="16"/>
                <w:szCs w:val="16"/>
              </w:rPr>
              <w:t>ANGULO</w:t>
            </w:r>
          </w:p>
        </w:tc>
        <w:tc>
          <w:tcPr>
            <w:tcW w:w="1043" w:type="dxa"/>
          </w:tcPr>
          <w:p w:rsidR="00C07242" w:rsidRPr="00DB1C52" w:rsidRDefault="00C07242" w:rsidP="00135BE2">
            <w:pPr>
              <w:spacing w:before="240"/>
              <w:jc w:val="center"/>
              <w:rPr>
                <w:rFonts w:ascii="Arial" w:hAnsi="Arial" w:cs="Arial"/>
                <w:b/>
                <w:sz w:val="16"/>
                <w:szCs w:val="16"/>
              </w:rPr>
            </w:pPr>
            <w:r w:rsidRPr="00DB1C52">
              <w:rPr>
                <w:rFonts w:ascii="Arial" w:hAnsi="Arial" w:cs="Arial"/>
                <w:b/>
                <w:sz w:val="16"/>
                <w:szCs w:val="16"/>
              </w:rPr>
              <w:t>ESTE</w:t>
            </w:r>
          </w:p>
        </w:tc>
        <w:tc>
          <w:tcPr>
            <w:tcW w:w="1043" w:type="dxa"/>
          </w:tcPr>
          <w:p w:rsidR="00C07242" w:rsidRPr="00DB1C52" w:rsidRDefault="00C07242" w:rsidP="00135BE2">
            <w:pPr>
              <w:spacing w:before="240"/>
              <w:jc w:val="center"/>
              <w:rPr>
                <w:rFonts w:ascii="Arial" w:hAnsi="Arial" w:cs="Arial"/>
                <w:b/>
                <w:sz w:val="16"/>
                <w:szCs w:val="16"/>
              </w:rPr>
            </w:pPr>
            <w:r w:rsidRPr="00DB1C52">
              <w:rPr>
                <w:rFonts w:ascii="Arial" w:hAnsi="Arial" w:cs="Arial"/>
                <w:b/>
                <w:sz w:val="16"/>
                <w:szCs w:val="16"/>
              </w:rPr>
              <w:t>NORTE</w:t>
            </w:r>
          </w:p>
        </w:tc>
      </w:tr>
      <w:tr w:rsidR="00C07242" w:rsidRPr="00DB1C52" w:rsidTr="00135BE2">
        <w:trPr>
          <w:trHeight w:val="309"/>
          <w:jc w:val="center"/>
        </w:trPr>
        <w:tc>
          <w:tcPr>
            <w:tcW w:w="1044"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P23</w:t>
            </w:r>
          </w:p>
        </w:tc>
        <w:tc>
          <w:tcPr>
            <w:tcW w:w="103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P23-P2</w:t>
            </w:r>
          </w:p>
        </w:tc>
        <w:tc>
          <w:tcPr>
            <w:tcW w:w="1032"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25.04</w:t>
            </w:r>
          </w:p>
        </w:tc>
        <w:tc>
          <w:tcPr>
            <w:tcW w:w="1079"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181°16’37”</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6016.237</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5293.914</w:t>
            </w:r>
          </w:p>
        </w:tc>
      </w:tr>
      <w:tr w:rsidR="00C07242" w:rsidRPr="00DB1C52" w:rsidTr="00135BE2">
        <w:trPr>
          <w:trHeight w:val="397"/>
          <w:jc w:val="center"/>
        </w:trPr>
        <w:tc>
          <w:tcPr>
            <w:tcW w:w="1044"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w:t>
            </w:r>
          </w:p>
        </w:tc>
        <w:tc>
          <w:tcPr>
            <w:tcW w:w="103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P2-P25</w:t>
            </w:r>
          </w:p>
        </w:tc>
        <w:tc>
          <w:tcPr>
            <w:tcW w:w="1032"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32.32</w:t>
            </w:r>
          </w:p>
        </w:tc>
        <w:tc>
          <w:tcPr>
            <w:tcW w:w="1079"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82°49’16”</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6012.602</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5269.140</w:t>
            </w:r>
          </w:p>
        </w:tc>
      </w:tr>
      <w:tr w:rsidR="00C07242" w:rsidRPr="00DB1C52" w:rsidTr="00135BE2">
        <w:trPr>
          <w:trHeight w:val="397"/>
          <w:jc w:val="center"/>
        </w:trPr>
        <w:tc>
          <w:tcPr>
            <w:tcW w:w="1044"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P25</w:t>
            </w:r>
          </w:p>
        </w:tc>
        <w:tc>
          <w:tcPr>
            <w:tcW w:w="103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P25-P26</w:t>
            </w:r>
          </w:p>
        </w:tc>
        <w:tc>
          <w:tcPr>
            <w:tcW w:w="1032"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3.85</w:t>
            </w:r>
          </w:p>
        </w:tc>
        <w:tc>
          <w:tcPr>
            <w:tcW w:w="1079"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173°14’3”</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6044.911</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5268.480</w:t>
            </w:r>
          </w:p>
        </w:tc>
      </w:tr>
      <w:tr w:rsidR="00C07242" w:rsidRPr="00DB1C52" w:rsidTr="00135BE2">
        <w:trPr>
          <w:trHeight w:val="292"/>
          <w:jc w:val="center"/>
        </w:trPr>
        <w:tc>
          <w:tcPr>
            <w:tcW w:w="1044"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P26</w:t>
            </w:r>
          </w:p>
        </w:tc>
        <w:tc>
          <w:tcPr>
            <w:tcW w:w="103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P26-27</w:t>
            </w:r>
          </w:p>
        </w:tc>
        <w:tc>
          <w:tcPr>
            <w:tcW w:w="1032"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20.50</w:t>
            </w:r>
          </w:p>
        </w:tc>
        <w:tc>
          <w:tcPr>
            <w:tcW w:w="1079"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103°15’15”</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6048.745</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5268.855</w:t>
            </w:r>
          </w:p>
        </w:tc>
      </w:tr>
      <w:tr w:rsidR="00C07242" w:rsidRPr="00DB1C52" w:rsidTr="00135BE2">
        <w:trPr>
          <w:trHeight w:val="397"/>
          <w:jc w:val="center"/>
        </w:trPr>
        <w:tc>
          <w:tcPr>
            <w:tcW w:w="1044"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P27</w:t>
            </w:r>
          </w:p>
        </w:tc>
        <w:tc>
          <w:tcPr>
            <w:tcW w:w="103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P27-P28</w:t>
            </w:r>
          </w:p>
        </w:tc>
        <w:tc>
          <w:tcPr>
            <w:tcW w:w="1032"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35.56</w:t>
            </w:r>
          </w:p>
        </w:tc>
        <w:tc>
          <w:tcPr>
            <w:tcW w:w="1079"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90°0’2”</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6051.477</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5289.175</w:t>
            </w:r>
          </w:p>
        </w:tc>
      </w:tr>
      <w:tr w:rsidR="00C07242" w:rsidRPr="00DB1C52" w:rsidTr="00135BE2">
        <w:trPr>
          <w:trHeight w:val="397"/>
          <w:jc w:val="center"/>
        </w:trPr>
        <w:tc>
          <w:tcPr>
            <w:tcW w:w="1044"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P28</w:t>
            </w:r>
          </w:p>
        </w:tc>
        <w:tc>
          <w:tcPr>
            <w:tcW w:w="103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P28-P23</w:t>
            </w:r>
          </w:p>
        </w:tc>
        <w:tc>
          <w:tcPr>
            <w:tcW w:w="1032"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0.00</w:t>
            </w:r>
          </w:p>
        </w:tc>
        <w:tc>
          <w:tcPr>
            <w:tcW w:w="1079"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89°24’47”</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6016.237</w:t>
            </w:r>
          </w:p>
        </w:tc>
        <w:tc>
          <w:tcPr>
            <w:tcW w:w="1043" w:type="dxa"/>
          </w:tcPr>
          <w:p w:rsidR="00C07242" w:rsidRPr="00DB1C52" w:rsidRDefault="00C07242" w:rsidP="00135BE2">
            <w:pPr>
              <w:spacing w:before="240"/>
              <w:jc w:val="center"/>
              <w:rPr>
                <w:rFonts w:ascii="Arial" w:hAnsi="Arial" w:cs="Arial"/>
                <w:sz w:val="16"/>
                <w:szCs w:val="16"/>
              </w:rPr>
            </w:pPr>
            <w:r w:rsidRPr="00DB1C52">
              <w:rPr>
                <w:rFonts w:ascii="Arial" w:hAnsi="Arial" w:cs="Arial"/>
                <w:sz w:val="16"/>
                <w:szCs w:val="16"/>
              </w:rPr>
              <w:t>5293.914</w:t>
            </w:r>
          </w:p>
        </w:tc>
      </w:tr>
    </w:tbl>
    <w:p w:rsidR="00C07242" w:rsidRPr="00CE4EEF" w:rsidRDefault="00C07242" w:rsidP="00C07242">
      <w:pPr>
        <w:jc w:val="both"/>
        <w:rPr>
          <w:rFonts w:ascii="Arial" w:hAnsi="Arial" w:cs="Arial"/>
          <w:sz w:val="24"/>
          <w:szCs w:val="24"/>
        </w:rPr>
      </w:pPr>
    </w:p>
    <w:p w:rsidR="00C07242" w:rsidRPr="00C07242" w:rsidRDefault="00C07242" w:rsidP="00C07242">
      <w:pPr>
        <w:pStyle w:val="Default"/>
        <w:numPr>
          <w:ilvl w:val="0"/>
          <w:numId w:val="33"/>
        </w:numPr>
        <w:jc w:val="both"/>
        <w:rPr>
          <w:b/>
          <w:sz w:val="22"/>
          <w:szCs w:val="22"/>
        </w:rPr>
      </w:pPr>
      <w:r w:rsidRPr="00C07242">
        <w:rPr>
          <w:b/>
          <w:sz w:val="22"/>
          <w:szCs w:val="22"/>
        </w:rPr>
        <w:t>Área Municipal No.10 ubicada en la Manzana 603 Lote 1 del Fraccionamiento   Los Puertos 2do Sector en el Municipio de Juárez N.L., con superficie total: 1,711.38mts2.</w:t>
      </w:r>
    </w:p>
    <w:p w:rsidR="00C07242" w:rsidRPr="00C07242" w:rsidRDefault="00C07242" w:rsidP="00C07242">
      <w:pPr>
        <w:pStyle w:val="Default"/>
        <w:ind w:left="720"/>
        <w:jc w:val="both"/>
        <w:rPr>
          <w:sz w:val="22"/>
          <w:szCs w:val="22"/>
        </w:rPr>
      </w:pPr>
    </w:p>
    <w:p w:rsidR="00C07242" w:rsidRPr="00C07242" w:rsidRDefault="00C07242" w:rsidP="00C07242">
      <w:pPr>
        <w:pStyle w:val="Default"/>
        <w:ind w:left="720"/>
        <w:jc w:val="both"/>
        <w:rPr>
          <w:sz w:val="22"/>
          <w:szCs w:val="22"/>
        </w:rPr>
      </w:pPr>
      <w:r w:rsidRPr="00C07242">
        <w:rPr>
          <w:sz w:val="22"/>
          <w:szCs w:val="22"/>
        </w:rPr>
        <w:t>Medidas y Colindancias:</w:t>
      </w:r>
    </w:p>
    <w:p w:rsidR="00C07242" w:rsidRPr="00C07242" w:rsidRDefault="00C07242" w:rsidP="00C07242">
      <w:pPr>
        <w:pStyle w:val="Default"/>
        <w:ind w:left="720"/>
        <w:jc w:val="both"/>
        <w:rPr>
          <w:sz w:val="22"/>
          <w:szCs w:val="22"/>
        </w:rPr>
      </w:pPr>
      <w:r w:rsidRPr="00C07242">
        <w:rPr>
          <w:sz w:val="22"/>
          <w:szCs w:val="22"/>
        </w:rPr>
        <w:t xml:space="preserve">Del punto 1 al 2 mide 85.22mts. </w:t>
      </w:r>
    </w:p>
    <w:p w:rsidR="00C07242" w:rsidRPr="00C07242" w:rsidRDefault="00C07242" w:rsidP="00C07242">
      <w:pPr>
        <w:pStyle w:val="Default"/>
        <w:ind w:left="720"/>
        <w:jc w:val="both"/>
        <w:rPr>
          <w:sz w:val="22"/>
          <w:szCs w:val="22"/>
        </w:rPr>
      </w:pPr>
      <w:r w:rsidRPr="00C07242">
        <w:rPr>
          <w:sz w:val="22"/>
          <w:szCs w:val="22"/>
        </w:rPr>
        <w:t>Del punto 2 al 3 mide 25.12mts.</w:t>
      </w:r>
    </w:p>
    <w:p w:rsidR="00C07242" w:rsidRPr="00C07242" w:rsidRDefault="00C07242" w:rsidP="00C07242">
      <w:pPr>
        <w:pStyle w:val="Default"/>
        <w:ind w:left="720"/>
        <w:jc w:val="both"/>
        <w:rPr>
          <w:sz w:val="22"/>
          <w:szCs w:val="22"/>
        </w:rPr>
      </w:pPr>
      <w:r w:rsidRPr="00C07242">
        <w:rPr>
          <w:sz w:val="22"/>
          <w:szCs w:val="22"/>
        </w:rPr>
        <w:t xml:space="preserve">Del punto 3 al 4 mide 76.74mts. </w:t>
      </w:r>
    </w:p>
    <w:p w:rsidR="00C07242" w:rsidRPr="00C07242" w:rsidRDefault="00C07242" w:rsidP="00C07242">
      <w:pPr>
        <w:pStyle w:val="Default"/>
        <w:ind w:left="720"/>
        <w:jc w:val="both"/>
        <w:rPr>
          <w:sz w:val="22"/>
          <w:szCs w:val="22"/>
        </w:rPr>
      </w:pPr>
      <w:r w:rsidRPr="00C07242">
        <w:rPr>
          <w:sz w:val="22"/>
          <w:szCs w:val="22"/>
        </w:rPr>
        <w:t>Del punto 4 al 5 mide en línea curva mide 12.14mts.</w:t>
      </w:r>
    </w:p>
    <w:p w:rsidR="00C07242" w:rsidRPr="00C07242" w:rsidRDefault="00C07242" w:rsidP="00C07242">
      <w:pPr>
        <w:pStyle w:val="Default"/>
        <w:ind w:left="720"/>
        <w:jc w:val="both"/>
        <w:rPr>
          <w:sz w:val="22"/>
          <w:szCs w:val="22"/>
        </w:rPr>
      </w:pPr>
      <w:r w:rsidRPr="00C07242">
        <w:rPr>
          <w:sz w:val="22"/>
          <w:szCs w:val="22"/>
        </w:rPr>
        <w:t xml:space="preserve">Del punto 5 al 1mide 12.82mts. </w:t>
      </w:r>
    </w:p>
    <w:p w:rsidR="00C07242" w:rsidRPr="00C07242" w:rsidRDefault="00C07242" w:rsidP="00C07242">
      <w:pPr>
        <w:pStyle w:val="Default"/>
        <w:ind w:left="720"/>
        <w:jc w:val="both"/>
        <w:rPr>
          <w:sz w:val="22"/>
          <w:szCs w:val="22"/>
        </w:rPr>
      </w:pPr>
    </w:p>
    <w:p w:rsidR="00C07242" w:rsidRPr="00C07242" w:rsidRDefault="00C07242" w:rsidP="00C07242">
      <w:pPr>
        <w:pStyle w:val="Default"/>
        <w:ind w:left="720"/>
        <w:jc w:val="both"/>
        <w:rPr>
          <w:sz w:val="22"/>
          <w:szCs w:val="22"/>
        </w:rPr>
      </w:pPr>
      <w:r w:rsidRPr="00C07242">
        <w:rPr>
          <w:sz w:val="22"/>
          <w:szCs w:val="22"/>
        </w:rPr>
        <w:t>•</w:t>
      </w:r>
      <w:r w:rsidRPr="00C07242">
        <w:rPr>
          <w:sz w:val="22"/>
          <w:szCs w:val="22"/>
        </w:rPr>
        <w:tab/>
        <w:t>Al Norte con la calle Gales.</w:t>
      </w:r>
    </w:p>
    <w:p w:rsidR="00C07242" w:rsidRPr="00C07242" w:rsidRDefault="00C07242" w:rsidP="00C07242">
      <w:pPr>
        <w:pStyle w:val="Default"/>
        <w:ind w:left="720"/>
        <w:jc w:val="both"/>
        <w:rPr>
          <w:sz w:val="22"/>
          <w:szCs w:val="22"/>
        </w:rPr>
      </w:pPr>
      <w:r w:rsidRPr="00C07242">
        <w:rPr>
          <w:sz w:val="22"/>
          <w:szCs w:val="22"/>
        </w:rPr>
        <w:t>•</w:t>
      </w:r>
      <w:r w:rsidRPr="00C07242">
        <w:rPr>
          <w:sz w:val="22"/>
          <w:szCs w:val="22"/>
        </w:rPr>
        <w:tab/>
        <w:t xml:space="preserve">Al Sur con el Derecho de paso 5 al Este con Propiedad Privada. </w:t>
      </w:r>
    </w:p>
    <w:p w:rsidR="00C07242" w:rsidRPr="00C07242" w:rsidRDefault="00C07242" w:rsidP="00C07242">
      <w:pPr>
        <w:pStyle w:val="Default"/>
        <w:ind w:left="720"/>
        <w:jc w:val="both"/>
        <w:rPr>
          <w:sz w:val="22"/>
          <w:szCs w:val="22"/>
        </w:rPr>
      </w:pPr>
      <w:r w:rsidRPr="00C07242">
        <w:rPr>
          <w:sz w:val="22"/>
          <w:szCs w:val="22"/>
        </w:rPr>
        <w:t>•</w:t>
      </w:r>
      <w:r w:rsidRPr="00C07242">
        <w:rPr>
          <w:sz w:val="22"/>
          <w:szCs w:val="22"/>
        </w:rPr>
        <w:tab/>
        <w:t>Al Oeste con la Avenida Bahía.</w:t>
      </w:r>
    </w:p>
    <w:p w:rsidR="00C07242" w:rsidRPr="00C07242" w:rsidRDefault="00C07242" w:rsidP="00C07242">
      <w:pPr>
        <w:pStyle w:val="Default"/>
        <w:ind w:left="720"/>
        <w:jc w:val="both"/>
        <w:rPr>
          <w:sz w:val="22"/>
          <w:szCs w:val="22"/>
        </w:rPr>
      </w:pPr>
    </w:p>
    <w:p w:rsidR="00C07242" w:rsidRPr="00C07242" w:rsidRDefault="00C07242" w:rsidP="00C07242">
      <w:pPr>
        <w:pStyle w:val="Default"/>
        <w:ind w:left="720"/>
        <w:jc w:val="both"/>
        <w:rPr>
          <w:sz w:val="22"/>
          <w:szCs w:val="22"/>
        </w:rPr>
      </w:pPr>
      <w:r w:rsidRPr="00C07242">
        <w:rPr>
          <w:sz w:val="22"/>
          <w:szCs w:val="22"/>
        </w:rPr>
        <w:t>Dicho inmueble lo ampara los siguientes datos de registro: A Favor de Municipio de Juárez, Nuevo León. Bajo el Número 7174, Volumen 84, Libro 72, Sección Propiedad, con fecha 15 de Septiembre del 2011.</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lastRenderedPageBreak/>
        <w:t>Área Municipal 5 identificada como Lote 005 Manzana 178 Fraccionamiento Villas Anzures en el Municipio de Juárez N.L. Con una superficie total de 612.830 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sz w:val="24"/>
          <w:szCs w:val="24"/>
        </w:rPr>
      </w:pPr>
      <w:r w:rsidRPr="00CE4EEF">
        <w:rPr>
          <w:rFonts w:ascii="Arial" w:hAnsi="Arial" w:cs="Arial"/>
          <w:noProof/>
          <w:sz w:val="24"/>
          <w:szCs w:val="24"/>
          <w:lang w:eastAsia="es-MX"/>
        </w:rPr>
        <w:drawing>
          <wp:inline distT="0" distB="0" distL="0" distR="0" wp14:anchorId="654B94BB" wp14:editId="1F95B3CF">
            <wp:extent cx="2784284" cy="17145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3194" cy="1726144"/>
                    </a:xfrm>
                    <a:prstGeom prst="rect">
                      <a:avLst/>
                    </a:prstGeom>
                    <a:noFill/>
                  </pic:spPr>
                </pic:pic>
              </a:graphicData>
            </a:graphic>
          </wp:inline>
        </w:drawing>
      </w:r>
    </w:p>
    <w:p w:rsidR="00C07242" w:rsidRPr="00C07242" w:rsidRDefault="00C07242" w:rsidP="00C07242">
      <w:pPr>
        <w:pStyle w:val="Default"/>
        <w:jc w:val="both"/>
        <w:rPr>
          <w:sz w:val="22"/>
          <w:szCs w:val="22"/>
        </w:rPr>
      </w:pPr>
      <w:r w:rsidRPr="00C07242">
        <w:rPr>
          <w:sz w:val="22"/>
          <w:szCs w:val="22"/>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Área Municipal 6 identificada como Lote 003 Manzana 178 Fracc. Villas Anzures en el Municipio de Juárez N.L. Con una superficie total de 6,076.441 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sz w:val="24"/>
          <w:szCs w:val="24"/>
        </w:rPr>
      </w:pPr>
      <w:r w:rsidRPr="00CE4EEF">
        <w:rPr>
          <w:rFonts w:ascii="Arial" w:hAnsi="Arial" w:cs="Arial"/>
          <w:noProof/>
          <w:sz w:val="24"/>
          <w:szCs w:val="24"/>
          <w:lang w:eastAsia="es-MX"/>
        </w:rPr>
        <w:drawing>
          <wp:inline distT="0" distB="0" distL="0" distR="0" wp14:anchorId="4D1FD8ED" wp14:editId="59D1D5EF">
            <wp:extent cx="2757237" cy="2695575"/>
            <wp:effectExtent l="0" t="0" r="508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164" cy="2700392"/>
                    </a:xfrm>
                    <a:prstGeom prst="rect">
                      <a:avLst/>
                    </a:prstGeom>
                    <a:noFill/>
                  </pic:spPr>
                </pic:pic>
              </a:graphicData>
            </a:graphic>
          </wp:inline>
        </w:drawing>
      </w:r>
    </w:p>
    <w:p w:rsidR="00C07242" w:rsidRPr="00C07242" w:rsidRDefault="00C07242" w:rsidP="00C07242">
      <w:pPr>
        <w:pStyle w:val="Default"/>
        <w:jc w:val="both"/>
        <w:rPr>
          <w:sz w:val="22"/>
          <w:szCs w:val="22"/>
        </w:rPr>
      </w:pPr>
      <w:r w:rsidRPr="00C07242">
        <w:rPr>
          <w:sz w:val="22"/>
          <w:szCs w:val="22"/>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E4EEF" w:rsidRDefault="00C07242" w:rsidP="00C07242">
      <w:pPr>
        <w:pStyle w:val="Default"/>
        <w:jc w:val="both"/>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lastRenderedPageBreak/>
        <w:t>Área Municipal 7 identificada como Lote 001 Manzana 612 Fracc. Villas Anzures en el Municipio de Juárez N.L. Con una superficie total de 859.306 m2. Con los siguientes rumbos y medidas.</w:t>
      </w:r>
    </w:p>
    <w:p w:rsidR="00C07242" w:rsidRPr="00CE4EEF" w:rsidRDefault="00C07242" w:rsidP="00C07242">
      <w:pPr>
        <w:tabs>
          <w:tab w:val="left" w:pos="4875"/>
        </w:tabs>
        <w:jc w:val="center"/>
        <w:rPr>
          <w:rFonts w:ascii="Arial" w:hAnsi="Arial" w:cs="Arial"/>
          <w:sz w:val="24"/>
          <w:szCs w:val="24"/>
        </w:rPr>
      </w:pPr>
      <w:r w:rsidRPr="00CE4EEF">
        <w:rPr>
          <w:rFonts w:ascii="Arial" w:hAnsi="Arial" w:cs="Arial"/>
          <w:noProof/>
          <w:sz w:val="24"/>
          <w:szCs w:val="24"/>
          <w:lang w:eastAsia="es-MX"/>
        </w:rPr>
        <w:drawing>
          <wp:inline distT="0" distB="0" distL="0" distR="0" wp14:anchorId="620929DC" wp14:editId="1497B650">
            <wp:extent cx="2935923" cy="22479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0324" cy="2274239"/>
                    </a:xfrm>
                    <a:prstGeom prst="rect">
                      <a:avLst/>
                    </a:prstGeom>
                    <a:noFill/>
                  </pic:spPr>
                </pic:pic>
              </a:graphicData>
            </a:graphic>
          </wp:inline>
        </w:drawing>
      </w:r>
    </w:p>
    <w:p w:rsidR="00C07242" w:rsidRPr="00C07242" w:rsidRDefault="00C07242" w:rsidP="00C07242">
      <w:pPr>
        <w:pStyle w:val="Default"/>
        <w:jc w:val="both"/>
        <w:rPr>
          <w:sz w:val="22"/>
          <w:szCs w:val="22"/>
        </w:rPr>
      </w:pPr>
      <w:r w:rsidRPr="00C07242">
        <w:rPr>
          <w:sz w:val="22"/>
          <w:szCs w:val="22"/>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Área Municipal 8 (Ocho) identificada como Lote 003 Manzana 612 Fracc. Villas Anzures en el Municipio de Juárez N.L. Con una superficie total de 598.707 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b/>
          <w:sz w:val="24"/>
          <w:szCs w:val="24"/>
        </w:rPr>
      </w:pPr>
      <w:r w:rsidRPr="00CE4EEF">
        <w:rPr>
          <w:rFonts w:ascii="Arial" w:hAnsi="Arial" w:cs="Arial"/>
          <w:b/>
          <w:noProof/>
          <w:sz w:val="24"/>
          <w:szCs w:val="24"/>
          <w:lang w:eastAsia="es-MX"/>
        </w:rPr>
        <w:drawing>
          <wp:inline distT="0" distB="0" distL="0" distR="0" wp14:anchorId="1B39E94A" wp14:editId="17B787A3">
            <wp:extent cx="2571750" cy="345464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2955" cy="3469697"/>
                    </a:xfrm>
                    <a:prstGeom prst="rect">
                      <a:avLst/>
                    </a:prstGeom>
                    <a:noFill/>
                  </pic:spPr>
                </pic:pic>
              </a:graphicData>
            </a:graphic>
          </wp:inline>
        </w:drawing>
      </w:r>
    </w:p>
    <w:p w:rsidR="00C07242" w:rsidRPr="00C07242" w:rsidRDefault="00C07242" w:rsidP="00C07242">
      <w:pPr>
        <w:pStyle w:val="Default"/>
        <w:jc w:val="both"/>
        <w:rPr>
          <w:sz w:val="22"/>
          <w:szCs w:val="22"/>
        </w:rPr>
      </w:pPr>
      <w:r w:rsidRPr="00C07242">
        <w:rPr>
          <w:sz w:val="22"/>
          <w:szCs w:val="22"/>
        </w:rPr>
        <w:lastRenderedPageBreak/>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Área Municipal 9 (Nueve) identificada como Lote 002 Manzana 603 Fraccionamiento. Villas Anzures en el Municipio de Juárez N.L.  Con una superficie total 1,244.229m2.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sz w:val="24"/>
          <w:szCs w:val="24"/>
          <w:lang w:val="en-US"/>
        </w:rPr>
      </w:pPr>
      <w:r w:rsidRPr="00CE4EEF">
        <w:rPr>
          <w:rFonts w:ascii="Arial" w:hAnsi="Arial" w:cs="Arial"/>
          <w:noProof/>
          <w:sz w:val="24"/>
          <w:szCs w:val="24"/>
          <w:lang w:eastAsia="es-MX"/>
        </w:rPr>
        <w:drawing>
          <wp:inline distT="0" distB="0" distL="0" distR="0" wp14:anchorId="76DB4430" wp14:editId="54D3ECAF">
            <wp:extent cx="2565326" cy="2772000"/>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326" cy="2772000"/>
                    </a:xfrm>
                    <a:prstGeom prst="rect">
                      <a:avLst/>
                    </a:prstGeom>
                    <a:noFill/>
                  </pic:spPr>
                </pic:pic>
              </a:graphicData>
            </a:graphic>
          </wp:inline>
        </w:drawing>
      </w:r>
    </w:p>
    <w:p w:rsidR="00C07242" w:rsidRPr="00C07242" w:rsidRDefault="00C07242" w:rsidP="00C07242">
      <w:pPr>
        <w:pStyle w:val="Default"/>
        <w:jc w:val="both"/>
        <w:rPr>
          <w:sz w:val="22"/>
          <w:szCs w:val="22"/>
        </w:rPr>
      </w:pPr>
      <w:r w:rsidRPr="00C07242">
        <w:rPr>
          <w:sz w:val="22"/>
          <w:szCs w:val="22"/>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Área Municipal 10 (Diez) identificada como Fracc. Villas Anzures. En el Municipio de Juárez N.L. Con una superficie total de 783.828 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b/>
          <w:sz w:val="24"/>
          <w:szCs w:val="24"/>
        </w:rPr>
      </w:pPr>
      <w:r w:rsidRPr="00CE4EEF">
        <w:rPr>
          <w:rFonts w:ascii="Arial" w:hAnsi="Arial" w:cs="Arial"/>
          <w:b/>
          <w:noProof/>
          <w:sz w:val="24"/>
          <w:szCs w:val="24"/>
          <w:lang w:eastAsia="es-MX"/>
        </w:rPr>
        <w:lastRenderedPageBreak/>
        <w:drawing>
          <wp:inline distT="0" distB="0" distL="0" distR="0" wp14:anchorId="612BCA2B" wp14:editId="67F7B03B">
            <wp:extent cx="2922720" cy="2647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966" cy="2658139"/>
                    </a:xfrm>
                    <a:prstGeom prst="rect">
                      <a:avLst/>
                    </a:prstGeom>
                    <a:noFill/>
                  </pic:spPr>
                </pic:pic>
              </a:graphicData>
            </a:graphic>
          </wp:inline>
        </w:drawing>
      </w:r>
    </w:p>
    <w:p w:rsidR="00C07242" w:rsidRPr="00C07242" w:rsidRDefault="00C07242" w:rsidP="00C07242">
      <w:pPr>
        <w:jc w:val="both"/>
        <w:rPr>
          <w:rFonts w:ascii="Arial" w:hAnsi="Arial" w:cs="Arial"/>
        </w:rPr>
      </w:pPr>
      <w:r w:rsidRPr="00C07242">
        <w:rPr>
          <w:rFonts w:ascii="Arial" w:hAnsi="Arial" w:cs="Arial"/>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07242" w:rsidRDefault="00C07242" w:rsidP="00C07242">
      <w:pPr>
        <w:pStyle w:val="Prrafodelista"/>
        <w:numPr>
          <w:ilvl w:val="0"/>
          <w:numId w:val="33"/>
        </w:numPr>
        <w:spacing w:after="200" w:line="276" w:lineRule="auto"/>
        <w:jc w:val="both"/>
        <w:rPr>
          <w:rFonts w:ascii="Arial" w:hAnsi="Arial" w:cs="Arial"/>
          <w:b/>
          <w:sz w:val="22"/>
          <w:szCs w:val="22"/>
          <w:lang w:val="es-MX"/>
        </w:rPr>
      </w:pPr>
      <w:r w:rsidRPr="00C07242">
        <w:rPr>
          <w:rFonts w:ascii="Arial" w:hAnsi="Arial" w:cs="Arial"/>
          <w:b/>
          <w:sz w:val="22"/>
          <w:szCs w:val="22"/>
          <w:lang w:val="es-MX"/>
        </w:rPr>
        <w:t>Área municipal 11 (Once) identificada como Lote 001 Manzana 615 Fracc. Villas Anzures en el municipio de Juárez N.L. Con una superficie total de 79.203 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sz w:val="24"/>
          <w:szCs w:val="24"/>
        </w:rPr>
      </w:pPr>
      <w:r w:rsidRPr="00CE4EEF">
        <w:rPr>
          <w:rFonts w:ascii="Arial" w:hAnsi="Arial" w:cs="Arial"/>
          <w:noProof/>
          <w:sz w:val="24"/>
          <w:szCs w:val="24"/>
          <w:lang w:eastAsia="es-MX"/>
        </w:rPr>
        <w:drawing>
          <wp:inline distT="0" distB="0" distL="0" distR="0" wp14:anchorId="2430B4C2" wp14:editId="7B932A79">
            <wp:extent cx="2259296" cy="277200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9296" cy="2772000"/>
                    </a:xfrm>
                    <a:prstGeom prst="rect">
                      <a:avLst/>
                    </a:prstGeom>
                    <a:noFill/>
                  </pic:spPr>
                </pic:pic>
              </a:graphicData>
            </a:graphic>
          </wp:inline>
        </w:drawing>
      </w:r>
    </w:p>
    <w:p w:rsidR="00C07242" w:rsidRPr="00C07242" w:rsidRDefault="00C07242" w:rsidP="00C07242">
      <w:pPr>
        <w:jc w:val="both"/>
        <w:rPr>
          <w:rFonts w:ascii="Arial" w:hAnsi="Arial" w:cs="Arial"/>
        </w:rPr>
      </w:pPr>
      <w:r w:rsidRPr="00C07242">
        <w:rPr>
          <w:rFonts w:ascii="Arial" w:hAnsi="Arial" w:cs="Arial"/>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0F34B1" w:rsidRDefault="00C07242" w:rsidP="00C07242">
      <w:pPr>
        <w:pStyle w:val="Prrafodelista"/>
        <w:numPr>
          <w:ilvl w:val="0"/>
          <w:numId w:val="33"/>
        </w:numPr>
        <w:spacing w:after="200" w:line="276" w:lineRule="auto"/>
        <w:jc w:val="both"/>
        <w:rPr>
          <w:rFonts w:ascii="Arial" w:hAnsi="Arial" w:cs="Arial"/>
          <w:b/>
          <w:sz w:val="24"/>
          <w:szCs w:val="24"/>
          <w:lang w:val="es-MX"/>
        </w:rPr>
      </w:pPr>
      <w:r w:rsidRPr="00C07242">
        <w:rPr>
          <w:rFonts w:ascii="Arial" w:hAnsi="Arial" w:cs="Arial"/>
          <w:b/>
          <w:sz w:val="22"/>
          <w:szCs w:val="22"/>
          <w:lang w:val="es-MX"/>
        </w:rPr>
        <w:lastRenderedPageBreak/>
        <w:t>Área municipal 12 (Doce) identificada como Lote 001 Manzana 616 Fracc. Villas Anzures en el municipio de Juárez N.L. Con una superficie total de 240.060 m2. Con los siguientes rumbos y medidas</w:t>
      </w:r>
      <w:r w:rsidRPr="000F34B1">
        <w:rPr>
          <w:rFonts w:ascii="Arial" w:hAnsi="Arial" w:cs="Arial"/>
          <w:sz w:val="24"/>
          <w:szCs w:val="24"/>
          <w:lang w:val="es-MX"/>
        </w:rPr>
        <w:t>.</w:t>
      </w:r>
    </w:p>
    <w:p w:rsidR="00C07242" w:rsidRPr="00CE4EEF" w:rsidRDefault="00C07242" w:rsidP="00C07242">
      <w:pPr>
        <w:jc w:val="center"/>
        <w:rPr>
          <w:rFonts w:ascii="Arial" w:hAnsi="Arial" w:cs="Arial"/>
          <w:sz w:val="24"/>
          <w:szCs w:val="24"/>
        </w:rPr>
      </w:pPr>
      <w:r w:rsidRPr="00CE4EEF">
        <w:rPr>
          <w:rFonts w:ascii="Arial" w:hAnsi="Arial" w:cs="Arial"/>
          <w:noProof/>
          <w:sz w:val="24"/>
          <w:szCs w:val="24"/>
          <w:lang w:eastAsia="es-MX"/>
        </w:rPr>
        <w:drawing>
          <wp:inline distT="0" distB="0" distL="0" distR="0" wp14:anchorId="57D16668" wp14:editId="175286C4">
            <wp:extent cx="2563938" cy="2667000"/>
            <wp:effectExtent l="0" t="0" r="825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4040" cy="2677508"/>
                    </a:xfrm>
                    <a:prstGeom prst="rect">
                      <a:avLst/>
                    </a:prstGeom>
                    <a:noFill/>
                  </pic:spPr>
                </pic:pic>
              </a:graphicData>
            </a:graphic>
          </wp:inline>
        </w:drawing>
      </w:r>
    </w:p>
    <w:p w:rsidR="00C07242" w:rsidRPr="00C07242" w:rsidRDefault="00C07242" w:rsidP="00C07242">
      <w:pPr>
        <w:pStyle w:val="Default"/>
        <w:jc w:val="both"/>
        <w:rPr>
          <w:sz w:val="22"/>
          <w:szCs w:val="22"/>
        </w:rPr>
      </w:pPr>
      <w:r w:rsidRPr="00C07242">
        <w:rPr>
          <w:sz w:val="22"/>
          <w:szCs w:val="22"/>
        </w:rPr>
        <w:t>Dicho inmueble lo ampara los siguientes datos de registro: A favor de Fomento Empresarial Inmobiliario S-A. de C.V. Bajo el No.8541 Vol.85 Libro 86 Propiedad de fecha 26 Octubre de 2012. Secc. Fraccionamiento: Bajo el No 11 Vol.35   Libro 1 de fecha 09 de Noviembre 2012.</w:t>
      </w:r>
    </w:p>
    <w:p w:rsidR="00C07242" w:rsidRPr="00C07242" w:rsidRDefault="00C07242" w:rsidP="00C07242">
      <w:pPr>
        <w:pStyle w:val="Default"/>
        <w:jc w:val="both"/>
        <w:rPr>
          <w:sz w:val="22"/>
          <w:szCs w:val="22"/>
        </w:rPr>
      </w:pPr>
    </w:p>
    <w:p w:rsidR="00C07242" w:rsidRPr="00C07242" w:rsidRDefault="00C07242" w:rsidP="00C07242">
      <w:pPr>
        <w:pStyle w:val="Prrafodelista"/>
        <w:numPr>
          <w:ilvl w:val="0"/>
          <w:numId w:val="34"/>
        </w:numPr>
        <w:spacing w:after="200" w:line="276" w:lineRule="auto"/>
        <w:jc w:val="both"/>
        <w:rPr>
          <w:rFonts w:ascii="Arial" w:hAnsi="Arial" w:cs="Arial"/>
          <w:b/>
          <w:sz w:val="22"/>
          <w:szCs w:val="22"/>
          <w:lang w:val="es-MX"/>
        </w:rPr>
      </w:pPr>
      <w:r w:rsidRPr="00C07242">
        <w:rPr>
          <w:rFonts w:ascii="Arial" w:hAnsi="Arial" w:cs="Arial"/>
          <w:b/>
          <w:sz w:val="22"/>
          <w:szCs w:val="22"/>
        </w:rPr>
        <w:t xml:space="preserve"> </w:t>
      </w:r>
      <w:r w:rsidRPr="00C07242">
        <w:rPr>
          <w:rFonts w:ascii="Arial" w:hAnsi="Arial" w:cs="Arial"/>
          <w:b/>
          <w:sz w:val="22"/>
          <w:szCs w:val="22"/>
          <w:lang w:val="es-MX"/>
        </w:rPr>
        <w:t>Área Municipal 16 identificada como Lote 001 Manzana 620 del Fracc. Villas Anzures en El Municipio de Juárez N.L. Con una superficie total de 364.678 m2. Con los siguientes rumbos y medidas</w:t>
      </w:r>
      <w:r w:rsidRPr="00C07242">
        <w:rPr>
          <w:rFonts w:ascii="Arial" w:hAnsi="Arial" w:cs="Arial"/>
          <w:sz w:val="22"/>
          <w:szCs w:val="22"/>
          <w:lang w:val="es-MX"/>
        </w:rPr>
        <w:t>:</w:t>
      </w:r>
    </w:p>
    <w:p w:rsidR="00C07242" w:rsidRPr="00CE4EEF" w:rsidRDefault="00C07242" w:rsidP="00C07242">
      <w:pPr>
        <w:jc w:val="center"/>
        <w:rPr>
          <w:rFonts w:ascii="Arial" w:hAnsi="Arial" w:cs="Arial"/>
          <w:sz w:val="24"/>
          <w:szCs w:val="24"/>
        </w:rPr>
      </w:pPr>
      <w:r w:rsidRPr="00CE4EEF">
        <w:rPr>
          <w:rFonts w:ascii="Arial" w:hAnsi="Arial" w:cs="Arial"/>
          <w:noProof/>
          <w:sz w:val="24"/>
          <w:szCs w:val="24"/>
          <w:lang w:eastAsia="es-MX"/>
        </w:rPr>
        <w:drawing>
          <wp:inline distT="0" distB="0" distL="0" distR="0" wp14:anchorId="5408BEA8" wp14:editId="6E87085F">
            <wp:extent cx="2887557" cy="2533650"/>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716" cy="2549584"/>
                    </a:xfrm>
                    <a:prstGeom prst="rect">
                      <a:avLst/>
                    </a:prstGeom>
                    <a:noFill/>
                    <a:ln>
                      <a:noFill/>
                    </a:ln>
                  </pic:spPr>
                </pic:pic>
              </a:graphicData>
            </a:graphic>
          </wp:inline>
        </w:drawing>
      </w:r>
    </w:p>
    <w:p w:rsidR="00C07242" w:rsidRPr="00C07242" w:rsidRDefault="00C07242" w:rsidP="00C07242">
      <w:pPr>
        <w:pStyle w:val="Default"/>
        <w:jc w:val="both"/>
        <w:rPr>
          <w:sz w:val="22"/>
          <w:szCs w:val="22"/>
        </w:rPr>
      </w:pPr>
      <w:r w:rsidRPr="00C07242">
        <w:rPr>
          <w:sz w:val="22"/>
          <w:szCs w:val="22"/>
        </w:rPr>
        <w:t xml:space="preserve">Dicho inmueble lo ampara los siguientes datos de registro: A favor de Fomento Empresarial Inmobiliario S-A. de C.V. Bajo el No.8541 Vol.85 Libro 86 Propiedad de </w:t>
      </w:r>
      <w:r w:rsidRPr="00C07242">
        <w:rPr>
          <w:sz w:val="22"/>
          <w:szCs w:val="22"/>
        </w:rPr>
        <w:lastRenderedPageBreak/>
        <w:t>fecha 26 Octubre de 2012. Secc. Fraccionamiento: Bajo el No 11 Vol.35   Libro 1 de fecha 09 de Noviembre 2012.</w:t>
      </w:r>
    </w:p>
    <w:p w:rsidR="00C07242" w:rsidRPr="00C07242" w:rsidRDefault="00C07242" w:rsidP="00C07242">
      <w:pPr>
        <w:pStyle w:val="Default"/>
        <w:jc w:val="both"/>
        <w:rPr>
          <w:sz w:val="22"/>
          <w:szCs w:val="22"/>
        </w:rPr>
      </w:pPr>
    </w:p>
    <w:p w:rsidR="00C07242" w:rsidRPr="00C07242" w:rsidRDefault="00C07242" w:rsidP="00C07242">
      <w:pPr>
        <w:jc w:val="both"/>
        <w:rPr>
          <w:rFonts w:ascii="Arial" w:hAnsi="Arial" w:cs="Arial"/>
        </w:rPr>
      </w:pPr>
      <w:r w:rsidRPr="00C07242">
        <w:rPr>
          <w:rFonts w:ascii="Arial" w:hAnsi="Arial" w:cs="Arial"/>
          <w:b/>
        </w:rPr>
        <w:t xml:space="preserve">SEGUNDO.- </w:t>
      </w:r>
      <w:r w:rsidRPr="00C07242">
        <w:rPr>
          <w:rFonts w:ascii="Arial" w:hAnsi="Arial" w:cs="Arial"/>
        </w:rPr>
        <w:t xml:space="preserve">El periodo por el cual será firmado el mencionado contrato, o los que fueren necesarios, bajo la figura jurídica de comodato, será por 30 treinta años, contados a partir de la firma del mismo. Con el objeto de llevar a cabo la construcción del Colegio de Estudios Científicos y Tecnológicos la cual deberá iniciar su construcción en un lapso no mayor a 3 tres años a partir de la firma del contrato respectivo y en caso de no llevarse a cabo, o que se destine a un fin distinto al autorizado, quedará sin efectos el contrato de comodato correspondiente, recuperando el Municipio la posesión jurídica del predio con todas las mejoras que se le hayan realizado. </w:t>
      </w:r>
    </w:p>
    <w:p w:rsidR="00C07242" w:rsidRPr="00C07242" w:rsidRDefault="00C07242" w:rsidP="00C07242">
      <w:pPr>
        <w:spacing w:line="240" w:lineRule="auto"/>
        <w:jc w:val="both"/>
        <w:rPr>
          <w:rFonts w:ascii="Arial" w:hAnsi="Arial" w:cs="Arial"/>
        </w:rPr>
      </w:pPr>
      <w:r w:rsidRPr="00C07242">
        <w:rPr>
          <w:rFonts w:ascii="Arial" w:hAnsi="Arial" w:cs="Arial"/>
          <w:b/>
        </w:rPr>
        <w:t>TERCERO.-</w:t>
      </w:r>
      <w:r w:rsidRPr="00C07242">
        <w:rPr>
          <w:rFonts w:ascii="Arial" w:hAnsi="Arial" w:cs="Arial"/>
        </w:rPr>
        <w:t xml:space="preserve"> La vigencia del o los contratos de comodato queda sujeta a la administración, buen uso y mantenimiento de las superficies de los inmuebles objeto del presente acuerdo, por parte de la Gobierno del Estado de Nuevo León, a través de la Secretaría de Educación, en el entendido que en caso de incumplimiento o una vez transcurrido el plazo del contrato autorizado, los inmuebles se reincorporarán al patrimonio del municipio de Juárez, Nuevo León, con todas las mejoras que se hubieren realizado en los mismos.</w:t>
      </w:r>
    </w:p>
    <w:p w:rsidR="00C07242" w:rsidRPr="00C07242" w:rsidRDefault="00C07242" w:rsidP="00C07242">
      <w:pPr>
        <w:spacing w:line="240" w:lineRule="auto"/>
        <w:jc w:val="both"/>
        <w:rPr>
          <w:rFonts w:ascii="Arial" w:hAnsi="Arial" w:cs="Arial"/>
        </w:rPr>
      </w:pPr>
      <w:r w:rsidRPr="00C07242">
        <w:rPr>
          <w:rFonts w:ascii="Arial" w:hAnsi="Arial" w:cs="Arial"/>
          <w:b/>
        </w:rPr>
        <w:t xml:space="preserve">CUARTO.- </w:t>
      </w:r>
      <w:r w:rsidRPr="00C07242">
        <w:rPr>
          <w:rFonts w:ascii="Arial" w:hAnsi="Arial" w:cs="Arial"/>
        </w:rPr>
        <w:t>Instrúyase a la Dirección de Patrimonio para efecto de llevar a cabo la inscripción correspondiente del presente acuerdo ante las autoridades registrales y catastrales, llevando a cabo el apeo y deslinde de los predios en cuestión.</w:t>
      </w:r>
    </w:p>
    <w:p w:rsidR="00C07242" w:rsidRPr="00C07242" w:rsidRDefault="00C07242" w:rsidP="00C07242">
      <w:pPr>
        <w:spacing w:line="240" w:lineRule="auto"/>
        <w:jc w:val="both"/>
        <w:rPr>
          <w:rFonts w:ascii="Arial" w:hAnsi="Arial" w:cs="Arial"/>
        </w:rPr>
      </w:pPr>
      <w:r w:rsidRPr="00C07242">
        <w:rPr>
          <w:rFonts w:ascii="Arial" w:hAnsi="Arial" w:cs="Arial"/>
          <w:b/>
        </w:rPr>
        <w:t>QUINTO.-</w:t>
      </w:r>
      <w:r w:rsidRPr="00C07242">
        <w:rPr>
          <w:rFonts w:ascii="Arial" w:hAnsi="Arial" w:cs="Arial"/>
        </w:rPr>
        <w:t xml:space="preserve"> Instrúyase a la Dirección Jurídica adscrita a la Secretaría del Ayuntamiento de este Municipio a fin de llevar a cabo la elaboración de los contratos de comodatos respectivos para su firma de los representantes legales del Municipio y del Gobierno del Estado de Nuevo León,15 a través de la Secretaría de Educación. </w:t>
      </w:r>
    </w:p>
    <w:p w:rsidR="00C07242" w:rsidRPr="00C07242" w:rsidRDefault="00C07242" w:rsidP="00C07242">
      <w:pPr>
        <w:spacing w:line="240" w:lineRule="auto"/>
        <w:jc w:val="both"/>
        <w:rPr>
          <w:rFonts w:ascii="Arial" w:hAnsi="Arial" w:cs="Arial"/>
        </w:rPr>
      </w:pPr>
      <w:r w:rsidRPr="00C07242">
        <w:rPr>
          <w:rFonts w:ascii="Arial" w:hAnsi="Arial" w:cs="Arial"/>
          <w:b/>
        </w:rPr>
        <w:t>SEXTO.-</w:t>
      </w:r>
      <w:r w:rsidRPr="00C07242">
        <w:rPr>
          <w:rFonts w:ascii="Arial" w:hAnsi="Arial" w:cs="Arial"/>
        </w:rPr>
        <w:t xml:space="preserve"> Gírense las instrucciones a la Secretaría del Ayuntamiento para que por su conducto se realicen las gestiones necesarias a fin de dar el debido cumplimiento a lo dispuesto en el artículo 210 de la Ley de Asentamientos Humanos, Ordenamiento Territorial y Desarrollo Urbano para el Estado de Nuevo León, turnándose vía atento oficio al H. Congreso del Estado de Nuevo león, para que ordene la expedición del Decreto que autorice al municipio de Juárez la celebración de el o los contratos de comodato referidos en el punto primero del presente acuerdo, lo anterior atendiendo que el área aprobada para otorgarse bajo la figura jurídica de comodato, deviene de la cesión gratuita, hecha por el fraccionador en favor del municipio de Juárez, en términos del numeral antes referido. </w:t>
      </w:r>
    </w:p>
    <w:p w:rsidR="00C07242" w:rsidRPr="00C07242" w:rsidRDefault="00C07242" w:rsidP="00C07242">
      <w:pPr>
        <w:spacing w:line="240" w:lineRule="auto"/>
        <w:jc w:val="both"/>
        <w:rPr>
          <w:rFonts w:ascii="Arial" w:hAnsi="Arial" w:cs="Arial"/>
          <w:u w:val="single"/>
        </w:rPr>
      </w:pPr>
      <w:r w:rsidRPr="00C07242">
        <w:rPr>
          <w:rFonts w:ascii="Arial" w:hAnsi="Arial" w:cs="Arial"/>
          <w:b/>
        </w:rPr>
        <w:t>SÉPTIMO.-</w:t>
      </w:r>
      <w:r w:rsidRPr="00C07242">
        <w:rPr>
          <w:rFonts w:ascii="Arial" w:hAnsi="Arial" w:cs="Arial"/>
        </w:rPr>
        <w:t xml:space="preserve"> En base a lo establecido en los artículos 64 de la Ley de Gobierno Municipal del Estado, se ordena se publique el presente acuerdo por una sola vez en la Gaceta Municipal a fin de darle la difusión correspondiente y que surtan los efectos legales a que haya lugar. </w:t>
      </w:r>
    </w:p>
    <w:p w:rsidR="00C07242" w:rsidRPr="00C07242" w:rsidRDefault="00054A17" w:rsidP="00C07242">
      <w:pPr>
        <w:widowControl w:val="0"/>
        <w:tabs>
          <w:tab w:val="left" w:pos="0"/>
        </w:tabs>
        <w:autoSpaceDE w:val="0"/>
        <w:autoSpaceDN w:val="0"/>
        <w:adjustRightInd w:val="0"/>
        <w:spacing w:before="240"/>
        <w:jc w:val="both"/>
        <w:rPr>
          <w:rFonts w:ascii="Arial" w:eastAsia="Calibri" w:hAnsi="Arial" w:cs="Arial"/>
          <w:bCs/>
          <w:color w:val="000000"/>
        </w:rPr>
      </w:pPr>
      <w:r w:rsidRPr="00054A17">
        <w:rPr>
          <w:rFonts w:ascii="Arial" w:eastAsia="Arial Unicode MS" w:hAnsi="Arial" w:cs="Arial"/>
          <w:b/>
          <w:lang w:val="es-ES"/>
        </w:rPr>
        <w:t xml:space="preserve">ACUERDO NO. 06.- </w:t>
      </w:r>
      <w:r w:rsidR="00C07242" w:rsidRPr="00C07242">
        <w:rPr>
          <w:rFonts w:ascii="Arial" w:eastAsia="Calibri" w:hAnsi="Arial" w:cs="Arial"/>
          <w:bCs/>
          <w:color w:val="000000"/>
        </w:rPr>
        <w:t xml:space="preserve">APRUEBA Y AUTORIZA EL </w:t>
      </w:r>
      <w:r w:rsidR="00C07242" w:rsidRPr="00C07242">
        <w:rPr>
          <w:rFonts w:ascii="Arial" w:hAnsi="Arial" w:cs="Arial"/>
          <w:bCs/>
        </w:rPr>
        <w:t>DICTAMEN DE LA COMISIÓN DE HACIENDA Y PATRIMONIO MUNICIPALES RELATIVO A LA CONCESIÓN DE UN ÁREA MUNICIPAL A SOLICITUD DE LA ARQUIDIÓCESIS DE MONTERREY, A.R</w:t>
      </w:r>
      <w:r w:rsidR="00C07242" w:rsidRPr="00C07242">
        <w:rPr>
          <w:rFonts w:ascii="Arial" w:hAnsi="Arial" w:cs="Arial"/>
          <w:bCs/>
          <w:lang w:val="es"/>
        </w:rPr>
        <w:t xml:space="preserve">, </w:t>
      </w:r>
      <w:r w:rsidR="00C07242" w:rsidRPr="00C07242">
        <w:rPr>
          <w:rFonts w:ascii="Arial" w:eastAsia="Calibri" w:hAnsi="Arial" w:cs="Arial"/>
          <w:bCs/>
          <w:color w:val="000000"/>
        </w:rPr>
        <w:t xml:space="preserve">EN LOS SIGUIENTES TÉRMINOS: </w:t>
      </w:r>
    </w:p>
    <w:p w:rsidR="00C07242" w:rsidRPr="00C07242" w:rsidRDefault="00C07242" w:rsidP="00C07242">
      <w:pPr>
        <w:jc w:val="both"/>
        <w:rPr>
          <w:rFonts w:ascii="Arial" w:hAnsi="Arial" w:cs="Arial"/>
        </w:rPr>
      </w:pPr>
      <w:r w:rsidRPr="00C07242">
        <w:rPr>
          <w:rFonts w:ascii="Arial" w:hAnsi="Arial" w:cs="Arial"/>
        </w:rPr>
        <w:lastRenderedPageBreak/>
        <w:t>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inciso c), 204, 205, 206 y demás relativos de la Ley de Gobierno Municipal de Estado de Nuevo León, se aprueba y autoriza, la firma del contrato bajo la figura jurídica de comodato entre el Municipio de Juárez, Nuevo León como comodante, y la Arquidiócesis de Monterrey, A.R. en su calidad de comodatario; autorizando al Presidente Municipal y a la Síndico Segundo, en su calidad de representantes legales del municipio, a que firmen el citado contrato, en base a los siguientes:</w:t>
      </w:r>
    </w:p>
    <w:p w:rsidR="00C07242" w:rsidRPr="00C07242" w:rsidRDefault="00C07242" w:rsidP="00C07242">
      <w:pPr>
        <w:pStyle w:val="Default"/>
        <w:spacing w:after="240"/>
        <w:jc w:val="both"/>
        <w:rPr>
          <w:sz w:val="22"/>
          <w:szCs w:val="22"/>
        </w:rPr>
      </w:pPr>
      <w:r w:rsidRPr="00C07242">
        <w:rPr>
          <w:sz w:val="22"/>
          <w:szCs w:val="22"/>
        </w:rPr>
        <w:t>PRIMERO.- La porción de 1,450 metros cuadrados correspondientes al área municipal de mayor extensión ubicada en la Calle Gral. Manuel Doblado, de la Col. Infonavit Benito Juárez, del municipio de Juárez, Nuevo León con expediente catastral 01 179 001, será destinado para la construcción de la capilla María Reina de la Paz, al servicio de los vecinos de la Col. Infonavit Benito Juárez y del Municipio de Juárez en general. La mencionada porción cuenta con las siguientes medidas y colindancias:</w:t>
      </w:r>
    </w:p>
    <w:tbl>
      <w:tblPr>
        <w:tblStyle w:val="Tablaconcuadrcula"/>
        <w:tblW w:w="0" w:type="auto"/>
        <w:tblLook w:val="04A0" w:firstRow="1" w:lastRow="0" w:firstColumn="1" w:lastColumn="0" w:noHBand="0" w:noVBand="1"/>
      </w:tblPr>
      <w:tblGrid>
        <w:gridCol w:w="2822"/>
        <w:gridCol w:w="2821"/>
        <w:gridCol w:w="2851"/>
      </w:tblGrid>
      <w:tr w:rsidR="00C07242" w:rsidRPr="00C07242" w:rsidTr="00135BE2">
        <w:tc>
          <w:tcPr>
            <w:tcW w:w="2992" w:type="dxa"/>
          </w:tcPr>
          <w:p w:rsidR="00C07242" w:rsidRPr="00C07242" w:rsidRDefault="00C07242" w:rsidP="00135BE2">
            <w:pPr>
              <w:jc w:val="center"/>
              <w:rPr>
                <w:rFonts w:ascii="Arial" w:hAnsi="Arial" w:cs="Arial"/>
              </w:rPr>
            </w:pPr>
            <w:r w:rsidRPr="00C07242">
              <w:rPr>
                <w:rFonts w:ascii="Arial" w:hAnsi="Arial" w:cs="Arial"/>
              </w:rPr>
              <w:t>Dirección</w:t>
            </w:r>
          </w:p>
        </w:tc>
        <w:tc>
          <w:tcPr>
            <w:tcW w:w="2993" w:type="dxa"/>
          </w:tcPr>
          <w:p w:rsidR="00C07242" w:rsidRPr="00C07242" w:rsidRDefault="00C07242" w:rsidP="00135BE2">
            <w:pPr>
              <w:jc w:val="center"/>
              <w:rPr>
                <w:rFonts w:ascii="Arial" w:hAnsi="Arial" w:cs="Arial"/>
              </w:rPr>
            </w:pPr>
            <w:r w:rsidRPr="00C07242">
              <w:rPr>
                <w:rFonts w:ascii="Arial" w:hAnsi="Arial" w:cs="Arial"/>
              </w:rPr>
              <w:t>Distancia</w:t>
            </w:r>
          </w:p>
        </w:tc>
        <w:tc>
          <w:tcPr>
            <w:tcW w:w="2993" w:type="dxa"/>
          </w:tcPr>
          <w:p w:rsidR="00C07242" w:rsidRPr="00C07242" w:rsidRDefault="00C07242" w:rsidP="00135BE2">
            <w:pPr>
              <w:jc w:val="center"/>
              <w:rPr>
                <w:rFonts w:ascii="Arial" w:hAnsi="Arial" w:cs="Arial"/>
              </w:rPr>
            </w:pPr>
            <w:r w:rsidRPr="00C07242">
              <w:rPr>
                <w:rFonts w:ascii="Arial" w:hAnsi="Arial" w:cs="Arial"/>
              </w:rPr>
              <w:t>Colinda con</w:t>
            </w:r>
          </w:p>
        </w:tc>
      </w:tr>
      <w:tr w:rsidR="00C07242" w:rsidRPr="00C07242" w:rsidTr="00135BE2">
        <w:tc>
          <w:tcPr>
            <w:tcW w:w="2992" w:type="dxa"/>
          </w:tcPr>
          <w:p w:rsidR="00C07242" w:rsidRPr="00C07242" w:rsidRDefault="00C07242" w:rsidP="00135BE2">
            <w:pPr>
              <w:jc w:val="both"/>
              <w:rPr>
                <w:rFonts w:ascii="Arial" w:hAnsi="Arial" w:cs="Arial"/>
              </w:rPr>
            </w:pPr>
            <w:r w:rsidRPr="00C07242">
              <w:rPr>
                <w:rFonts w:ascii="Arial" w:hAnsi="Arial" w:cs="Arial"/>
              </w:rPr>
              <w:t>Al Norte:</w:t>
            </w:r>
          </w:p>
        </w:tc>
        <w:tc>
          <w:tcPr>
            <w:tcW w:w="2993" w:type="dxa"/>
          </w:tcPr>
          <w:p w:rsidR="00C07242" w:rsidRPr="00C07242" w:rsidRDefault="00C07242" w:rsidP="00135BE2">
            <w:pPr>
              <w:jc w:val="both"/>
              <w:rPr>
                <w:rFonts w:ascii="Arial" w:hAnsi="Arial" w:cs="Arial"/>
              </w:rPr>
            </w:pPr>
            <w:r w:rsidRPr="00C07242">
              <w:rPr>
                <w:rFonts w:ascii="Arial" w:hAnsi="Arial" w:cs="Arial"/>
              </w:rPr>
              <w:t>25.00 mts.</w:t>
            </w:r>
          </w:p>
        </w:tc>
        <w:tc>
          <w:tcPr>
            <w:tcW w:w="2993" w:type="dxa"/>
          </w:tcPr>
          <w:p w:rsidR="00C07242" w:rsidRPr="00C07242" w:rsidRDefault="00C07242" w:rsidP="00135BE2">
            <w:pPr>
              <w:jc w:val="both"/>
              <w:rPr>
                <w:rFonts w:ascii="Arial" w:hAnsi="Arial" w:cs="Arial"/>
              </w:rPr>
            </w:pPr>
            <w:r w:rsidRPr="00C07242">
              <w:rPr>
                <w:rFonts w:ascii="Arial" w:hAnsi="Arial" w:cs="Arial"/>
              </w:rPr>
              <w:t>Río</w:t>
            </w:r>
          </w:p>
        </w:tc>
      </w:tr>
      <w:tr w:rsidR="00C07242" w:rsidRPr="00C07242" w:rsidTr="00135BE2">
        <w:tc>
          <w:tcPr>
            <w:tcW w:w="2992" w:type="dxa"/>
          </w:tcPr>
          <w:p w:rsidR="00C07242" w:rsidRPr="00C07242" w:rsidRDefault="00C07242" w:rsidP="00135BE2">
            <w:pPr>
              <w:jc w:val="both"/>
              <w:rPr>
                <w:rFonts w:ascii="Arial" w:hAnsi="Arial" w:cs="Arial"/>
              </w:rPr>
            </w:pPr>
            <w:r w:rsidRPr="00C07242">
              <w:rPr>
                <w:rFonts w:ascii="Arial" w:hAnsi="Arial" w:cs="Arial"/>
              </w:rPr>
              <w:t>Al Sur:</w:t>
            </w:r>
          </w:p>
        </w:tc>
        <w:tc>
          <w:tcPr>
            <w:tcW w:w="2993" w:type="dxa"/>
          </w:tcPr>
          <w:p w:rsidR="00C07242" w:rsidRPr="00C07242" w:rsidRDefault="00C07242" w:rsidP="00135BE2">
            <w:pPr>
              <w:jc w:val="both"/>
              <w:rPr>
                <w:rFonts w:ascii="Arial" w:hAnsi="Arial" w:cs="Arial"/>
              </w:rPr>
            </w:pPr>
            <w:r w:rsidRPr="00C07242">
              <w:rPr>
                <w:rFonts w:ascii="Arial" w:hAnsi="Arial" w:cs="Arial"/>
              </w:rPr>
              <w:t>25.00 mts.</w:t>
            </w:r>
          </w:p>
        </w:tc>
        <w:tc>
          <w:tcPr>
            <w:tcW w:w="2993" w:type="dxa"/>
          </w:tcPr>
          <w:p w:rsidR="00C07242" w:rsidRPr="00C07242" w:rsidRDefault="00C07242" w:rsidP="00135BE2">
            <w:pPr>
              <w:jc w:val="both"/>
              <w:rPr>
                <w:rFonts w:ascii="Arial" w:hAnsi="Arial" w:cs="Arial"/>
              </w:rPr>
            </w:pPr>
            <w:r w:rsidRPr="00C07242">
              <w:rPr>
                <w:rFonts w:ascii="Arial" w:hAnsi="Arial" w:cs="Arial"/>
              </w:rPr>
              <w:t>Calle Manuel Doblado</w:t>
            </w:r>
          </w:p>
        </w:tc>
      </w:tr>
      <w:tr w:rsidR="00C07242" w:rsidRPr="00C07242" w:rsidTr="00135BE2">
        <w:tc>
          <w:tcPr>
            <w:tcW w:w="2992" w:type="dxa"/>
          </w:tcPr>
          <w:p w:rsidR="00C07242" w:rsidRPr="00C07242" w:rsidRDefault="00C07242" w:rsidP="00135BE2">
            <w:pPr>
              <w:jc w:val="both"/>
              <w:rPr>
                <w:rFonts w:ascii="Arial" w:hAnsi="Arial" w:cs="Arial"/>
              </w:rPr>
            </w:pPr>
            <w:r w:rsidRPr="00C07242">
              <w:rPr>
                <w:rFonts w:ascii="Arial" w:hAnsi="Arial" w:cs="Arial"/>
              </w:rPr>
              <w:t>Al Poniente:</w:t>
            </w:r>
          </w:p>
        </w:tc>
        <w:tc>
          <w:tcPr>
            <w:tcW w:w="2993" w:type="dxa"/>
          </w:tcPr>
          <w:p w:rsidR="00C07242" w:rsidRPr="00C07242" w:rsidRDefault="00C07242" w:rsidP="00135BE2">
            <w:pPr>
              <w:jc w:val="both"/>
              <w:rPr>
                <w:rFonts w:ascii="Arial" w:hAnsi="Arial" w:cs="Arial"/>
              </w:rPr>
            </w:pPr>
            <w:r w:rsidRPr="00C07242">
              <w:rPr>
                <w:rFonts w:ascii="Arial" w:hAnsi="Arial" w:cs="Arial"/>
              </w:rPr>
              <w:t>58.00 mts</w:t>
            </w:r>
          </w:p>
        </w:tc>
        <w:tc>
          <w:tcPr>
            <w:tcW w:w="2993" w:type="dxa"/>
          </w:tcPr>
          <w:p w:rsidR="00C07242" w:rsidRPr="00C07242" w:rsidRDefault="00C07242" w:rsidP="00135BE2">
            <w:pPr>
              <w:jc w:val="both"/>
              <w:rPr>
                <w:rFonts w:ascii="Arial" w:hAnsi="Arial" w:cs="Arial"/>
              </w:rPr>
            </w:pPr>
            <w:r w:rsidRPr="00C07242">
              <w:rPr>
                <w:rFonts w:ascii="Arial" w:hAnsi="Arial" w:cs="Arial"/>
              </w:rPr>
              <w:t>Propiedad Municipal (plaza)</w:t>
            </w:r>
          </w:p>
        </w:tc>
      </w:tr>
      <w:tr w:rsidR="00C07242" w:rsidRPr="00C07242" w:rsidTr="00135BE2">
        <w:tc>
          <w:tcPr>
            <w:tcW w:w="2992" w:type="dxa"/>
          </w:tcPr>
          <w:p w:rsidR="00C07242" w:rsidRPr="00C07242" w:rsidRDefault="00C07242" w:rsidP="00135BE2">
            <w:pPr>
              <w:jc w:val="both"/>
              <w:rPr>
                <w:rFonts w:ascii="Arial" w:hAnsi="Arial" w:cs="Arial"/>
              </w:rPr>
            </w:pPr>
            <w:r w:rsidRPr="00C07242">
              <w:rPr>
                <w:rFonts w:ascii="Arial" w:hAnsi="Arial" w:cs="Arial"/>
              </w:rPr>
              <w:t>Al Oriente:</w:t>
            </w:r>
          </w:p>
        </w:tc>
        <w:tc>
          <w:tcPr>
            <w:tcW w:w="2993" w:type="dxa"/>
          </w:tcPr>
          <w:p w:rsidR="00C07242" w:rsidRPr="00C07242" w:rsidRDefault="00C07242" w:rsidP="00135BE2">
            <w:pPr>
              <w:jc w:val="both"/>
              <w:rPr>
                <w:rFonts w:ascii="Arial" w:hAnsi="Arial" w:cs="Arial"/>
              </w:rPr>
            </w:pPr>
            <w:r w:rsidRPr="00C07242">
              <w:rPr>
                <w:rFonts w:ascii="Arial" w:hAnsi="Arial" w:cs="Arial"/>
              </w:rPr>
              <w:t>58.00 mts</w:t>
            </w:r>
          </w:p>
        </w:tc>
        <w:tc>
          <w:tcPr>
            <w:tcW w:w="2993" w:type="dxa"/>
          </w:tcPr>
          <w:p w:rsidR="00C07242" w:rsidRPr="00C07242" w:rsidRDefault="00C07242" w:rsidP="00135BE2">
            <w:pPr>
              <w:jc w:val="both"/>
              <w:rPr>
                <w:rFonts w:ascii="Arial" w:hAnsi="Arial" w:cs="Arial"/>
              </w:rPr>
            </w:pPr>
            <w:r w:rsidRPr="00C07242">
              <w:rPr>
                <w:rFonts w:ascii="Arial" w:hAnsi="Arial" w:cs="Arial"/>
              </w:rPr>
              <w:t>Propiedades particulares</w:t>
            </w:r>
          </w:p>
        </w:tc>
      </w:tr>
    </w:tbl>
    <w:p w:rsidR="00C07242" w:rsidRPr="00C07242" w:rsidRDefault="00C07242" w:rsidP="00C07242">
      <w:pPr>
        <w:spacing w:before="240"/>
        <w:jc w:val="both"/>
        <w:rPr>
          <w:rFonts w:ascii="Arial" w:hAnsi="Arial" w:cs="Arial"/>
        </w:rPr>
      </w:pPr>
      <w:r w:rsidRPr="00C07242">
        <w:rPr>
          <w:rFonts w:ascii="Arial" w:hAnsi="Arial" w:cs="Arial"/>
        </w:rPr>
        <w:t xml:space="preserve">SEGUNDO.- El periodo por el cual será firmado el mencionado contrato, bajo la figura jurídica de comodato, será por 30 treinta años, contados a partir de la firma del mismo. Con el objeto de llevar a cabo la construcción de la capilla antes indicada la cual deberá iniciar su construcción en un lapso no mayor a 3 tres años a partir de la firma del contrato respectivo y en caso de no llevarse a cabo, o que se destine a un fin distinto al autorizado, quedará sin efectos el contrato de comodato correspondiente, recuperando el Municipio la posesión jurídica del predio con todas las mejoras que se le hayan realizado. </w:t>
      </w:r>
    </w:p>
    <w:p w:rsidR="00C07242" w:rsidRPr="00C07242" w:rsidRDefault="00C07242" w:rsidP="00C07242">
      <w:pPr>
        <w:jc w:val="both"/>
        <w:rPr>
          <w:rFonts w:ascii="Arial" w:hAnsi="Arial" w:cs="Arial"/>
        </w:rPr>
      </w:pPr>
      <w:r w:rsidRPr="00C07242">
        <w:rPr>
          <w:rFonts w:ascii="Arial" w:hAnsi="Arial" w:cs="Arial"/>
        </w:rPr>
        <w:t>TERCERO.- La vigencia del contrato de comodato queda sujeta a la administración, buen uso y mantenimiento de las superficies del inmueble objeto del presente acuerdo, por parte de la Arquidiócesis de Monterrey, Asociación Religiosa, en el entendido que en caso de incumplimiento o una vez transcurrido el plazo del contrato autorizado, el inmueble se reincorporará al patrimonio del municipio de Juárez, Nuevo León, con todas las mejoras que se hubieren realizado en el mismo.</w:t>
      </w:r>
    </w:p>
    <w:p w:rsidR="00C07242" w:rsidRPr="00C07242" w:rsidRDefault="00C07242" w:rsidP="00C07242">
      <w:pPr>
        <w:jc w:val="both"/>
        <w:rPr>
          <w:rFonts w:ascii="Arial" w:hAnsi="Arial" w:cs="Arial"/>
        </w:rPr>
      </w:pPr>
      <w:r w:rsidRPr="00C07242">
        <w:rPr>
          <w:rFonts w:ascii="Arial" w:hAnsi="Arial" w:cs="Arial"/>
        </w:rPr>
        <w:t>CUARTO.- Instrúyase a la Dirección de Patrimonio para efecto de llevar a cabo la inscripción correspondiente del presente acuerdo ante las autoridades registrales y catastrales, llevando a cabo el apeo y deslinde de la porción del predio en cuestión.</w:t>
      </w:r>
    </w:p>
    <w:p w:rsidR="00C07242" w:rsidRPr="00C07242" w:rsidRDefault="00C07242" w:rsidP="00C07242">
      <w:pPr>
        <w:jc w:val="both"/>
        <w:rPr>
          <w:rFonts w:ascii="Arial" w:hAnsi="Arial" w:cs="Arial"/>
        </w:rPr>
      </w:pPr>
      <w:r w:rsidRPr="00C07242">
        <w:rPr>
          <w:rFonts w:ascii="Arial" w:hAnsi="Arial" w:cs="Arial"/>
        </w:rPr>
        <w:t xml:space="preserve">QUINTO.- Instrúyase a la Dirección Jurídica adscrita a la Secretaría del Ayuntamiento de este Municipio a fin de llevar a cabo la elaboración del contrato de comodato </w:t>
      </w:r>
      <w:r w:rsidRPr="00C07242">
        <w:rPr>
          <w:rFonts w:ascii="Arial" w:hAnsi="Arial" w:cs="Arial"/>
        </w:rPr>
        <w:lastRenderedPageBreak/>
        <w:t xml:space="preserve">respectivo para su firma de los representantes legales del Municipio y de la Arquidiócesis de Monterrey, A.R. </w:t>
      </w:r>
    </w:p>
    <w:p w:rsidR="00C07242" w:rsidRPr="00C07242" w:rsidRDefault="00C07242" w:rsidP="00C07242">
      <w:pPr>
        <w:jc w:val="both"/>
        <w:rPr>
          <w:rFonts w:ascii="Arial" w:hAnsi="Arial" w:cs="Arial"/>
        </w:rPr>
      </w:pPr>
      <w:r w:rsidRPr="00C07242">
        <w:rPr>
          <w:rFonts w:ascii="Arial" w:hAnsi="Arial" w:cs="Arial"/>
        </w:rPr>
        <w:t xml:space="preserve">SEXTO.- Gírense las instrucciones a la Secretaría del Ayuntamiento para que por su conducto se realicen las gestiones necesarias a fin de dar el debido cumplimiento a lo dispuesto en el artículo 210 de la Ley de Asentamientos Humanos, Ordenamiento Territorial y Desarrollo Urbano para el Estado de Nuevo León, turnándose vía atento oficio al H. Congreso del Estado de Nuevo león, para que ordene la expedición del Decreto que autorice al municipio de Juárez la celebración del contrato de comodato referido en el punto primero del presente acuerdo, lo anterior atendiendo que el área aprobada para otorgarse bajo la figura jurídica de comodato, deviene de la cesión gratuita, hecha por el fraccionador en favor del municipio de Juárez, en términos del numeral antes referido. </w:t>
      </w:r>
    </w:p>
    <w:p w:rsidR="00C07242" w:rsidRPr="00C07242" w:rsidRDefault="00C07242" w:rsidP="00C07242">
      <w:pPr>
        <w:jc w:val="both"/>
        <w:rPr>
          <w:rFonts w:ascii="Arial" w:hAnsi="Arial" w:cs="Arial"/>
        </w:rPr>
      </w:pPr>
      <w:r w:rsidRPr="00C07242">
        <w:rPr>
          <w:rFonts w:ascii="Arial" w:hAnsi="Arial" w:cs="Arial"/>
        </w:rPr>
        <w:t xml:space="preserve">SÉPTIMO.- En base a lo establecido en los artículos 64 de la Ley de Gobierno Municipal del Estado, se ordena se publique el presente acuerdo por una sola vez en la Gaceta Municipal a fin de darle la difusión correspondiente y que surtan los efectos legales a que haya lugar. </w:t>
      </w:r>
    </w:p>
    <w:p w:rsidR="00054A17" w:rsidRPr="00C07242" w:rsidRDefault="00054A17" w:rsidP="00C07242">
      <w:pPr>
        <w:spacing w:after="120" w:line="240" w:lineRule="auto"/>
        <w:jc w:val="both"/>
        <w:rPr>
          <w:rFonts w:ascii="Arial" w:hAnsi="Arial" w:cs="Arial"/>
        </w:rPr>
      </w:pPr>
    </w:p>
    <w:p w:rsidR="00874D0C" w:rsidRPr="00C07242" w:rsidRDefault="00874D0C" w:rsidP="00054A17">
      <w:pPr>
        <w:spacing w:before="240" w:after="240" w:line="276" w:lineRule="auto"/>
        <w:ind w:right="51"/>
        <w:jc w:val="both"/>
        <w:rPr>
          <w:rFonts w:ascii="Arial" w:hAnsi="Arial" w:cs="Arial"/>
        </w:rPr>
      </w:pPr>
    </w:p>
    <w:sectPr w:rsidR="00874D0C" w:rsidRPr="00C07242" w:rsidSect="001805EF">
      <w:headerReference w:type="default" r:id="rId18"/>
      <w:footerReference w:type="default" r:id="rId19"/>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9AE" w:rsidRDefault="00E439AE" w:rsidP="00031ADE">
      <w:pPr>
        <w:spacing w:after="0" w:line="240" w:lineRule="auto"/>
      </w:pPr>
      <w:r>
        <w:separator/>
      </w:r>
    </w:p>
  </w:endnote>
  <w:endnote w:type="continuationSeparator" w:id="0">
    <w:p w:rsidR="00E439AE" w:rsidRDefault="00E439AE"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9D7D1C" w:rsidRDefault="00BB1450"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BB1450" w:rsidRPr="003B45A8" w:rsidRDefault="00BB1450" w:rsidP="001805EF">
    <w:pPr>
      <w:pStyle w:val="Piedepgina"/>
    </w:pPr>
  </w:p>
  <w:p w:rsidR="00BB1450" w:rsidRDefault="00BB1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9AE" w:rsidRDefault="00E439AE" w:rsidP="00031ADE">
      <w:pPr>
        <w:spacing w:after="0" w:line="240" w:lineRule="auto"/>
      </w:pPr>
      <w:r>
        <w:separator/>
      </w:r>
    </w:p>
  </w:footnote>
  <w:footnote w:type="continuationSeparator" w:id="0">
    <w:p w:rsidR="00E439AE" w:rsidRDefault="00E439AE"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4A31EC" w:rsidRDefault="00BB1450"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BB1450" w:rsidRPr="004A31EC" w:rsidRDefault="00BB1450"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C8"/>
    <w:multiLevelType w:val="hybridMultilevel"/>
    <w:tmpl w:val="34389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97E3D"/>
    <w:multiLevelType w:val="hybridMultilevel"/>
    <w:tmpl w:val="AC00F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77EDC"/>
    <w:multiLevelType w:val="hybridMultilevel"/>
    <w:tmpl w:val="A4E0D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846"/>
    <w:multiLevelType w:val="hybridMultilevel"/>
    <w:tmpl w:val="6070284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A325D92"/>
    <w:multiLevelType w:val="hybridMultilevel"/>
    <w:tmpl w:val="CD9A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0C5A"/>
    <w:multiLevelType w:val="hybridMultilevel"/>
    <w:tmpl w:val="81DC7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23696"/>
    <w:multiLevelType w:val="hybridMultilevel"/>
    <w:tmpl w:val="AD88B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A0C4F"/>
    <w:multiLevelType w:val="hybridMultilevel"/>
    <w:tmpl w:val="5BAC3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B73709"/>
    <w:multiLevelType w:val="hybridMultilevel"/>
    <w:tmpl w:val="85B26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451C5"/>
    <w:multiLevelType w:val="hybridMultilevel"/>
    <w:tmpl w:val="DBB89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E2F3F"/>
    <w:multiLevelType w:val="hybridMultilevel"/>
    <w:tmpl w:val="CDF0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10C88"/>
    <w:multiLevelType w:val="hybridMultilevel"/>
    <w:tmpl w:val="D108C574"/>
    <w:lvl w:ilvl="0" w:tplc="080A0011">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CA3D80"/>
    <w:multiLevelType w:val="hybridMultilevel"/>
    <w:tmpl w:val="ED28C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13DBA"/>
    <w:multiLevelType w:val="hybridMultilevel"/>
    <w:tmpl w:val="E04AF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054DB"/>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E326F"/>
    <w:multiLevelType w:val="hybridMultilevel"/>
    <w:tmpl w:val="8A3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4237A7"/>
    <w:multiLevelType w:val="hybridMultilevel"/>
    <w:tmpl w:val="AF109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6C22AD"/>
    <w:multiLevelType w:val="hybridMultilevel"/>
    <w:tmpl w:val="9560F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A6"/>
    <w:multiLevelType w:val="hybridMultilevel"/>
    <w:tmpl w:val="A1281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9C4D24"/>
    <w:multiLevelType w:val="hybridMultilevel"/>
    <w:tmpl w:val="1CE61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D0077A"/>
    <w:multiLevelType w:val="hybridMultilevel"/>
    <w:tmpl w:val="B8726E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2251D4"/>
    <w:multiLevelType w:val="hybridMultilevel"/>
    <w:tmpl w:val="E57C6F66"/>
    <w:lvl w:ilvl="0" w:tplc="0E9E1B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0191CA1"/>
    <w:multiLevelType w:val="hybridMultilevel"/>
    <w:tmpl w:val="0ADE4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8840B5"/>
    <w:multiLevelType w:val="hybridMultilevel"/>
    <w:tmpl w:val="E91ED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11A79"/>
    <w:multiLevelType w:val="hybridMultilevel"/>
    <w:tmpl w:val="06D6A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2C56AB"/>
    <w:multiLevelType w:val="hybridMultilevel"/>
    <w:tmpl w:val="E588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020535"/>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4C2129"/>
    <w:multiLevelType w:val="hybridMultilevel"/>
    <w:tmpl w:val="EAE87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6194D"/>
    <w:multiLevelType w:val="hybridMultilevel"/>
    <w:tmpl w:val="2BC230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67505B"/>
    <w:multiLevelType w:val="hybridMultilevel"/>
    <w:tmpl w:val="2162F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6B7CD7"/>
    <w:multiLevelType w:val="hybridMultilevel"/>
    <w:tmpl w:val="9800A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163A2A"/>
    <w:multiLevelType w:val="hybridMultilevel"/>
    <w:tmpl w:val="B6209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F47F6F"/>
    <w:multiLevelType w:val="hybridMultilevel"/>
    <w:tmpl w:val="86CA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8"/>
  </w:num>
  <w:num w:numId="5">
    <w:abstractNumId w:val="3"/>
  </w:num>
  <w:num w:numId="6">
    <w:abstractNumId w:val="5"/>
  </w:num>
  <w:num w:numId="7">
    <w:abstractNumId w:val="31"/>
  </w:num>
  <w:num w:numId="8">
    <w:abstractNumId w:val="4"/>
  </w:num>
  <w:num w:numId="9">
    <w:abstractNumId w:val="30"/>
  </w:num>
  <w:num w:numId="10">
    <w:abstractNumId w:val="1"/>
  </w:num>
  <w:num w:numId="11">
    <w:abstractNumId w:val="22"/>
  </w:num>
  <w:num w:numId="12">
    <w:abstractNumId w:val="2"/>
  </w:num>
  <w:num w:numId="13">
    <w:abstractNumId w:val="32"/>
  </w:num>
  <w:num w:numId="14">
    <w:abstractNumId w:val="24"/>
  </w:num>
  <w:num w:numId="15">
    <w:abstractNumId w:val="18"/>
  </w:num>
  <w:num w:numId="16">
    <w:abstractNumId w:val="19"/>
  </w:num>
  <w:num w:numId="17">
    <w:abstractNumId w:val="10"/>
  </w:num>
  <w:num w:numId="18">
    <w:abstractNumId w:val="17"/>
  </w:num>
  <w:num w:numId="19">
    <w:abstractNumId w:val="33"/>
  </w:num>
  <w:num w:numId="20">
    <w:abstractNumId w:val="12"/>
  </w:num>
  <w:num w:numId="21">
    <w:abstractNumId w:val="6"/>
  </w:num>
  <w:num w:numId="22">
    <w:abstractNumId w:val="25"/>
  </w:num>
  <w:num w:numId="23">
    <w:abstractNumId w:val="7"/>
  </w:num>
  <w:num w:numId="24">
    <w:abstractNumId w:val="29"/>
  </w:num>
  <w:num w:numId="25">
    <w:abstractNumId w:val="27"/>
  </w:num>
  <w:num w:numId="26">
    <w:abstractNumId w:val="26"/>
  </w:num>
  <w:num w:numId="27">
    <w:abstractNumId w:val="14"/>
  </w:num>
  <w:num w:numId="28">
    <w:abstractNumId w:val="9"/>
  </w:num>
  <w:num w:numId="29">
    <w:abstractNumId w:val="13"/>
  </w:num>
  <w:num w:numId="30">
    <w:abstractNumId w:val="15"/>
  </w:num>
  <w:num w:numId="31">
    <w:abstractNumId w:val="0"/>
  </w:num>
  <w:num w:numId="32">
    <w:abstractNumId w:val="20"/>
  </w:num>
  <w:num w:numId="33">
    <w:abstractNumId w:val="21"/>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054A17"/>
    <w:rsid w:val="0013761E"/>
    <w:rsid w:val="001805EF"/>
    <w:rsid w:val="001A5EF3"/>
    <w:rsid w:val="002D658A"/>
    <w:rsid w:val="00333CF9"/>
    <w:rsid w:val="00384231"/>
    <w:rsid w:val="00511925"/>
    <w:rsid w:val="006B6E95"/>
    <w:rsid w:val="0071528A"/>
    <w:rsid w:val="007B6163"/>
    <w:rsid w:val="007E6C2D"/>
    <w:rsid w:val="008227B4"/>
    <w:rsid w:val="00874D0C"/>
    <w:rsid w:val="008834B9"/>
    <w:rsid w:val="008C015E"/>
    <w:rsid w:val="00976DCE"/>
    <w:rsid w:val="009821D3"/>
    <w:rsid w:val="00991FE4"/>
    <w:rsid w:val="009F4BC1"/>
    <w:rsid w:val="00A11C99"/>
    <w:rsid w:val="00A52B33"/>
    <w:rsid w:val="00A707E7"/>
    <w:rsid w:val="00A903E7"/>
    <w:rsid w:val="00AA51F6"/>
    <w:rsid w:val="00AF5996"/>
    <w:rsid w:val="00B375E6"/>
    <w:rsid w:val="00B87A3F"/>
    <w:rsid w:val="00BB1450"/>
    <w:rsid w:val="00C02413"/>
    <w:rsid w:val="00C07242"/>
    <w:rsid w:val="00C554A9"/>
    <w:rsid w:val="00C73D1F"/>
    <w:rsid w:val="00E439AE"/>
    <w:rsid w:val="00E90529"/>
    <w:rsid w:val="00E925E9"/>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5931"/>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805EF"/>
    <w:rPr>
      <w:rFonts w:ascii="Times New Roman" w:eastAsia="Times New Roman" w:hAnsi="Times New Roman" w:cs="Times New Roman"/>
      <w:sz w:val="20"/>
      <w:szCs w:val="20"/>
      <w:lang w:val="en-US"/>
    </w:rPr>
  </w:style>
  <w:style w:type="paragraph" w:styleId="Sinespaciado">
    <w:name w:val="No Spacing"/>
    <w:link w:val="SinespaciadoCar"/>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 w:type="paragraph" w:styleId="Textoindependiente2">
    <w:name w:val="Body Text 2"/>
    <w:basedOn w:val="Normal"/>
    <w:link w:val="Textoindependiente2Car"/>
    <w:uiPriority w:val="99"/>
    <w:unhideWhenUsed/>
    <w:rsid w:val="00BB1450"/>
    <w:pPr>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uiPriority w:val="99"/>
    <w:rsid w:val="00BB1450"/>
    <w:rPr>
      <w:rFonts w:ascii="Calibri" w:eastAsia="Calibri" w:hAnsi="Calibri" w:cs="Times New Roman"/>
      <w:lang w:val="x-none"/>
    </w:rPr>
  </w:style>
  <w:style w:type="paragraph" w:customStyle="1" w:styleId="Texto">
    <w:name w:val="Texto"/>
    <w:basedOn w:val="Normal"/>
    <w:link w:val="TextoCar"/>
    <w:rsid w:val="00BB1450"/>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BB145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7680-7D04-494E-A68E-76276988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2445</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17</cp:revision>
  <dcterms:created xsi:type="dcterms:W3CDTF">2019-03-05T20:35:00Z</dcterms:created>
  <dcterms:modified xsi:type="dcterms:W3CDTF">2019-09-06T17:56:00Z</dcterms:modified>
</cp:coreProperties>
</file>